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1A3A5C"/>
          <w:sz w:val="32"/>
        </w:rPr>
        <w:t>Search 1:  AI &amp; Nutrition</w:t>
      </w:r>
    </w:p>
    <w:p>
      <w:pPr>
        <w:spacing w:after="40"/>
        <w:jc w:val="center"/>
      </w:pPr>
      <w:r>
        <w:rPr>
          <w:i/>
          <w:color w:val="444444"/>
          <w:sz w:val="17"/>
        </w:rPr>
        <w:t>PubMed Query:  ("Artificial Intelligence" OR "AI") AND "Nutrition"</w:t>
      </w:r>
    </w:p>
    <w:p>
      <w:pPr>
        <w:spacing w:after="120"/>
        <w:jc w:val="center"/>
      </w:pPr>
      <w:r>
        <w:rPr>
          <w:color w:val="555555"/>
          <w:sz w:val="17"/>
        </w:rPr>
        <w:t>Explores artificial intelligence applications across nutrition science, including dietary assessment, personalized recommendations, and metabolic modeling.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9,212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2000–2026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2,141</w:t>
            </w:r>
          </w:p>
        </w:tc>
        <w:tc>
          <w:tcPr>
            <w:tcW w:type="dxa" w:w="2448"/>
            <w:shd w:val="clear" w:color="auto" w:fill="1a3a5c"/>
            <w:vAlign w:val="center"/>
          </w:tcPr>
          <w:p/>
          <w:p>
            <w:pPr>
              <w:jc w:val="center"/>
            </w:pPr>
            <w:r>
              <w:rPr>
                <w:b/>
                <w:color w:val="FFFFFF"/>
                <w:sz w:val="32"/>
              </w:rPr>
              <w:t>1,238</w:t>
            </w:r>
          </w:p>
        </w:tc>
      </w:tr>
      <w:tr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Total Articles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Year Range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Unique Journals</w:t>
            </w:r>
          </w:p>
        </w:tc>
        <w:tc>
          <w:tcPr>
            <w:tcW w:type="dxa" w:w="2448"/>
            <w:shd w:val="clear" w:color="auto" w:fill="2c5f8a"/>
          </w:tcPr>
          <w:p/>
          <w:p>
            <w:pPr>
              <w:jc w:val="center"/>
            </w:pPr>
            <w:r>
              <w:rPr>
                <w:color w:val="C8DDF0"/>
                <w:sz w:val="16"/>
              </w:rPr>
              <w:t>Review Papers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Publication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4618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46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1938953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19389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Research Cluster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/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360" cy="240533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360" cy="24053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6"/>
          </w:tcPr>
          <w:p/>
          <w:p>
            <w:pPr>
              <w:spacing w:after="60"/>
            </w:pPr>
            <w:r>
              <w:rPr>
                <w:b/>
                <w:color w:val="1A3A5C"/>
                <w:sz w:val="18"/>
              </w:rPr>
              <w:t>Identified Research Themes</w:t>
            </w:r>
          </w:p>
          <w:p>
            <w:pPr>
              <w:spacing w:before="60" w:after="0"/>
            </w:pPr>
            <w:r>
              <w:rPr>
                <w:b/>
                <w:color w:val="8C564B"/>
                <w:sz w:val="16"/>
              </w:rPr>
              <w:t>Cluster 5  (n=2,566)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cells, expression, mice, cell, study, associated</w:t>
            </w:r>
          </w:p>
          <w:p>
            <w:pPr>
              <w:spacing w:before="60" w:after="0"/>
            </w:pPr>
            <w:r>
              <w:rPr>
                <w:b/>
                <w:color w:val="7F7F7F"/>
                <w:sz w:val="16"/>
              </w:rPr>
              <w:t>Cluster 7  (n=1,740)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health, data, study, ai, based, using</w:t>
            </w:r>
          </w:p>
          <w:p>
            <w:pPr>
              <w:spacing w:before="60" w:after="0"/>
            </w:pPr>
            <w:r>
              <w:rPr>
                <w:b/>
                <w:color w:val="2CA02C"/>
                <w:sz w:val="16"/>
              </w:rPr>
              <w:t>Cluster 2  (n=1,609)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patients, 95, risk, ci, study, associated</w:t>
            </w:r>
          </w:p>
          <w:p>
            <w:pPr>
              <w:spacing w:before="60" w:after="0"/>
            </w:pPr>
            <w:r>
              <w:rPr>
                <w:b/>
                <w:color w:val="1F77B4"/>
                <w:sz w:val="16"/>
              </w:rPr>
              <w:t>Cluster 0  (n=417)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hdl, cholesterol, apoa, apo, lipoprotein, ldl</w:t>
            </w:r>
          </w:p>
          <w:p>
            <w:pPr>
              <w:spacing w:before="60" w:after="0"/>
            </w:pPr>
            <w:r>
              <w:rPr>
                <w:b/>
                <w:color w:val="9467BD"/>
                <w:sz w:val="16"/>
              </w:rPr>
              <w:t>Cluster 4  (n=382)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intake, dietary, vitamin, intakes, ai, food</w:t>
            </w:r>
          </w:p>
          <w:p>
            <w:pPr>
              <w:spacing w:before="60" w:after="0"/>
            </w:pPr>
            <w:r>
              <w:rPr>
                <w:b/>
                <w:color w:val="D62728"/>
                <w:sz w:val="16"/>
              </w:rPr>
              <w:t>Cluster 3  (n=289)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hiv, infected, associated, women, study, 95</w:t>
            </w:r>
          </w:p>
          <w:p>
            <w:pPr>
              <w:spacing w:before="60" w:after="0"/>
            </w:pPr>
            <w:r>
              <w:rPr>
                <w:b/>
                <w:color w:val="FF7F0E"/>
                <w:sz w:val="16"/>
              </w:rPr>
              <w:t>Cluster 1  (n=281)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sup, cells, cell, mice, sub, patients</w:t>
            </w:r>
          </w:p>
          <w:p>
            <w:pPr>
              <w:spacing w:before="60" w:after="0"/>
            </w:pPr>
            <w:r>
              <w:rPr>
                <w:b/>
                <w:color w:val="E377C2"/>
                <w:sz w:val="16"/>
              </w:rPr>
              <w:t>Cluster 6  (n=156)</w:t>
            </w:r>
          </w:p>
          <w:p>
            <w:pPr>
              <w:spacing w:before="0" w:after="40"/>
            </w:pPr>
            <w:r>
              <w:rPr>
                <w:i/>
                <w:color w:val="444444"/>
                <w:sz w:val="15"/>
              </w:rPr>
              <w:t>sub, sup, study, using, cells, cell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A3A5C"/>
        </w:rPr>
        <w:t>Gap Analysis: Review Coverage of Research Topics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df2f2"/>
          </w:tcPr>
          <w:p/>
          <w:p>
            <w:r>
              <w:rPr>
                <w:b/>
                <w:color w:val="C0392B"/>
                <w:sz w:val="18"/>
              </w:rPr>
              <w:t>2 of 8 research clusters (25%) have cosine similarity &lt; 0.30 to any review cluster: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1 (n=281):  sup, cells, cell, mice, sub</w:t>
            </w:r>
          </w:p>
          <w:p>
            <w:pPr>
              <w:pStyle w:val="ListBullet"/>
            </w:pPr>
            <w:r>
              <w:rPr>
                <w:color w:val="333333"/>
                <w:sz w:val="17"/>
              </w:rPr>
              <w:t>Cluster 6 (n=156):  sub, sup, study, using, cells</w:t>
            </w:r>
          </w:p>
        </w:tc>
      </w:tr>
    </w:tbl>
    <w:p>
      <w:pPr>
        <w:spacing w:before="160"/>
        <w:jc w:val="center"/>
      </w:pPr>
      <w:r>
        <w:rPr>
          <w:i/>
          <w:color w:val="888888"/>
          <w:sz w:val="14"/>
        </w:rPr>
        <w:t>MedScrape  |  AI-Assisted Systematic Literature Review  |  USMA Department of Mathematical Sciences  |  Generated: 2026-02-20</w:t>
      </w:r>
    </w:p>
    <w:sectPr w:rsidR="00FC693F" w:rsidRPr="0006063C" w:rsidSect="00034616">
      <w:pgSz w:w="12240" w:h="15840"/>
      <w:pgMar w:top="1080" w:right="1224" w:bottom="86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