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A3A5C"/>
          <w:sz w:val="32"/>
        </w:rPr>
        <w:t>Search 3:  Precision Nutrition &amp; Exercise</w:t>
      </w:r>
    </w:p>
    <w:p>
      <w:pPr>
        <w:spacing w:after="40"/>
        <w:jc w:val="center"/>
      </w:pPr>
      <w:r>
        <w:rPr>
          <w:i/>
          <w:color w:val="444444"/>
          <w:sz w:val="17"/>
        </w:rPr>
        <w:t>PubMed Query:  "Precision Nutrition" AND ("Exercise" AND "Nutrition")</w:t>
      </w:r>
    </w:p>
    <w:p>
      <w:pPr>
        <w:spacing w:after="120"/>
        <w:jc w:val="center"/>
      </w:pPr>
      <w:r>
        <w:rPr>
          <w:color w:val="555555"/>
          <w:sz w:val="17"/>
        </w:rPr>
        <w:t>Examines individualized nutrition-exercise interactions, sport-specific dietary prescriptions, and performance optimization through personalized fueling.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1a3a5c"/>
            <w:vAlign w:val="center"/>
          </w:tcPr>
          <w:p/>
          <w:p>
            <w:pPr>
              <w:jc w:val="center"/>
            </w:pPr>
            <w:r>
              <w:rPr>
                <w:b/>
                <w:color w:val="FFFFFF"/>
                <w:sz w:val="32"/>
              </w:rPr>
              <w:t>151</w:t>
            </w:r>
          </w:p>
        </w:tc>
        <w:tc>
          <w:tcPr>
            <w:tcW w:type="dxa" w:w="2448"/>
            <w:shd w:val="clear" w:color="auto" w:fill="1a3a5c"/>
            <w:vAlign w:val="center"/>
          </w:tcPr>
          <w:p/>
          <w:p>
            <w:pPr>
              <w:jc w:val="center"/>
            </w:pPr>
            <w:r>
              <w:rPr>
                <w:b/>
                <w:color w:val="FFFFFF"/>
                <w:sz w:val="32"/>
              </w:rPr>
              <w:t>2008–2025</w:t>
            </w:r>
          </w:p>
        </w:tc>
        <w:tc>
          <w:tcPr>
            <w:tcW w:type="dxa" w:w="2448"/>
            <w:shd w:val="clear" w:color="auto" w:fill="1a3a5c"/>
            <w:vAlign w:val="center"/>
          </w:tcPr>
          <w:p/>
          <w:p>
            <w:pPr>
              <w:jc w:val="center"/>
            </w:pPr>
            <w:r>
              <w:rPr>
                <w:b/>
                <w:color w:val="FFFFFF"/>
                <w:sz w:val="32"/>
              </w:rPr>
              <w:t>85</w:t>
            </w:r>
          </w:p>
        </w:tc>
        <w:tc>
          <w:tcPr>
            <w:tcW w:type="dxa" w:w="2448"/>
            <w:shd w:val="clear" w:color="auto" w:fill="1a3a5c"/>
            <w:vAlign w:val="center"/>
          </w:tcPr>
          <w:p/>
          <w:p>
            <w:pPr>
              <w:jc w:val="center"/>
            </w:pPr>
            <w:r>
              <w:rPr>
                <w:b/>
                <w:color w:val="FFFFFF"/>
                <w:sz w:val="32"/>
              </w:rPr>
              <w:t>39</w:t>
            </w:r>
          </w:p>
        </w:tc>
      </w:tr>
      <w:tr>
        <w:tc>
          <w:tcPr>
            <w:tcW w:type="dxa" w:w="2448"/>
            <w:shd w:val="clear" w:color="auto" w:fill="2c5f8a"/>
          </w:tcPr>
          <w:p/>
          <w:p>
            <w:pPr>
              <w:jc w:val="center"/>
            </w:pPr>
            <w:r>
              <w:rPr>
                <w:color w:val="C8DDF0"/>
                <w:sz w:val="16"/>
              </w:rPr>
              <w:t>Total Articles</w:t>
            </w:r>
          </w:p>
        </w:tc>
        <w:tc>
          <w:tcPr>
            <w:tcW w:type="dxa" w:w="2448"/>
            <w:shd w:val="clear" w:color="auto" w:fill="2c5f8a"/>
          </w:tcPr>
          <w:p/>
          <w:p>
            <w:pPr>
              <w:jc w:val="center"/>
            </w:pPr>
            <w:r>
              <w:rPr>
                <w:color w:val="C8DDF0"/>
                <w:sz w:val="16"/>
              </w:rPr>
              <w:t>Year Range</w:t>
            </w:r>
          </w:p>
        </w:tc>
        <w:tc>
          <w:tcPr>
            <w:tcW w:type="dxa" w:w="2448"/>
            <w:shd w:val="clear" w:color="auto" w:fill="2c5f8a"/>
          </w:tcPr>
          <w:p/>
          <w:p>
            <w:pPr>
              <w:jc w:val="center"/>
            </w:pPr>
            <w:r>
              <w:rPr>
                <w:color w:val="C8DDF0"/>
                <w:sz w:val="16"/>
              </w:rPr>
              <w:t>Unique Journals</w:t>
            </w:r>
          </w:p>
        </w:tc>
        <w:tc>
          <w:tcPr>
            <w:tcW w:type="dxa" w:w="2448"/>
            <w:shd w:val="clear" w:color="auto" w:fill="2c5f8a"/>
          </w:tcPr>
          <w:p/>
          <w:p>
            <w:pPr>
              <w:jc w:val="center"/>
            </w:pPr>
            <w:r>
              <w:rPr>
                <w:color w:val="C8DDF0"/>
                <w:sz w:val="16"/>
              </w:rPr>
              <w:t>Review Papers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A3A5C"/>
        </w:rPr>
        <w:t>Publication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/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9461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9461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96"/>
          </w:tcPr>
          <w:p/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93895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938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A3A5C"/>
        </w:rPr>
        <w:t>Research Cluster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/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240533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405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96"/>
          </w:tcPr>
          <w:p/>
          <w:p>
            <w:pPr>
              <w:spacing w:after="60"/>
            </w:pPr>
            <w:r>
              <w:rPr>
                <w:b/>
                <w:color w:val="1A3A5C"/>
                <w:sz w:val="18"/>
              </w:rPr>
              <w:t>Identified Research Themes</w:t>
            </w:r>
          </w:p>
          <w:p>
            <w:pPr>
              <w:spacing w:before="60" w:after="0"/>
            </w:pPr>
            <w:r>
              <w:rPr>
                <w:b/>
                <w:color w:val="FF7F0E"/>
                <w:sz w:val="16"/>
              </w:rPr>
              <w:t>Cluster 1  (n=19)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activity, physical, diet, participants, body, mediterranean</w:t>
            </w:r>
          </w:p>
          <w:p>
            <w:pPr>
              <w:spacing w:before="60" w:after="0"/>
            </w:pPr>
            <w:r>
              <w:rPr>
                <w:b/>
                <w:color w:val="D62728"/>
                <w:sz w:val="16"/>
              </w:rPr>
              <w:t>Cluster 3  (n=17)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sub, nutrition, precision, health, fat, dietary</w:t>
            </w:r>
          </w:p>
          <w:p>
            <w:pPr>
              <w:spacing w:before="60" w:after="0"/>
            </w:pPr>
            <w:r>
              <w:rPr>
                <w:b/>
                <w:color w:val="1F77B4"/>
                <w:sz w:val="16"/>
              </w:rPr>
              <w:t>Cluster 0  (n=17)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weight, sup, diet, loss, gi, participants</w:t>
            </w:r>
          </w:p>
          <w:p>
            <w:pPr>
              <w:spacing w:before="60" w:after="0"/>
            </w:pPr>
            <w:r>
              <w:rPr>
                <w:b/>
                <w:color w:val="8C564B"/>
                <w:sz w:val="16"/>
              </w:rPr>
              <w:t>Cluster 5  (n=17)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weight, loss, study, health, data, participants</w:t>
            </w:r>
          </w:p>
          <w:p>
            <w:pPr>
              <w:spacing w:before="60" w:after="0"/>
            </w:pPr>
            <w:r>
              <w:rPr>
                <w:b/>
                <w:color w:val="E377C2"/>
                <w:sz w:val="16"/>
              </w:rPr>
              <w:t>Cluster 6  (n=13)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pa, activity, physical, group, 95, nafld</w:t>
            </w:r>
          </w:p>
          <w:p>
            <w:pPr>
              <w:spacing w:before="60" w:after="0"/>
            </w:pPr>
            <w:r>
              <w:rPr>
                <w:b/>
                <w:color w:val="7F7F7F"/>
                <w:sz w:val="16"/>
              </w:rPr>
              <w:t>Cluster 7  (n=10)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intake, dietary, eating, bmi, behavior, stress</w:t>
            </w:r>
          </w:p>
          <w:p>
            <w:pPr>
              <w:spacing w:before="60" w:after="0"/>
            </w:pPr>
            <w:r>
              <w:rPr>
                <w:b/>
                <w:color w:val="2CA02C"/>
                <w:sz w:val="16"/>
              </w:rPr>
              <w:t>Cluster 2  (n=7)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bone, responders, hrqol, dietary, precision, chronic</w:t>
            </w:r>
          </w:p>
          <w:p>
            <w:pPr>
              <w:spacing w:before="60" w:after="0"/>
            </w:pPr>
            <w:r>
              <w:rPr>
                <w:b/>
                <w:color w:val="9467BD"/>
                <w:sz w:val="16"/>
              </w:rPr>
              <w:t>Cluster 4  (n=3)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doi, corrects, article, 3389, 10, fnut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A3A5C"/>
        </w:rPr>
        <w:t>Gap Analysis: Review Coverage of Research Topics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df2f2"/>
          </w:tcPr>
          <w:p/>
          <w:p>
            <w:r>
              <w:rPr>
                <w:b/>
                <w:color w:val="C0392B"/>
                <w:sz w:val="18"/>
              </w:rPr>
              <w:t>4 of 8 research clusters (50%) have cosine similarity &lt; 0.30 to any review cluster:</w:t>
            </w:r>
          </w:p>
          <w:p>
            <w:pPr>
              <w:pStyle w:val="ListBullet"/>
            </w:pPr>
            <w:r>
              <w:rPr>
                <w:color w:val="333333"/>
                <w:sz w:val="17"/>
              </w:rPr>
              <w:t>Cluster 0 (n=17):  weight, sup, diet, loss, gi</w:t>
            </w:r>
          </w:p>
          <w:p>
            <w:pPr>
              <w:pStyle w:val="ListBullet"/>
            </w:pPr>
            <w:r>
              <w:rPr>
                <w:color w:val="333333"/>
                <w:sz w:val="17"/>
              </w:rPr>
              <w:t>Cluster 2 (n=7):  bone, responders, hrqol, dietary, precision</w:t>
            </w:r>
          </w:p>
          <w:p>
            <w:pPr>
              <w:pStyle w:val="ListBullet"/>
            </w:pPr>
            <w:r>
              <w:rPr>
                <w:color w:val="333333"/>
                <w:sz w:val="17"/>
              </w:rPr>
              <w:t>Cluster 4 (n=3):  doi, corrects, article, 3389, 10</w:t>
            </w:r>
          </w:p>
          <w:p>
            <w:pPr>
              <w:pStyle w:val="ListBullet"/>
            </w:pPr>
            <w:r>
              <w:rPr>
                <w:color w:val="333333"/>
                <w:sz w:val="17"/>
              </w:rPr>
              <w:t>Cluster 7 (n=10):  intake, dietary, eating, bmi, behavior</w:t>
            </w:r>
          </w:p>
        </w:tc>
      </w:tr>
    </w:tbl>
    <w:p>
      <w:pPr>
        <w:spacing w:before="160"/>
        <w:jc w:val="center"/>
      </w:pPr>
      <w:r>
        <w:rPr>
          <w:i/>
          <w:color w:val="888888"/>
          <w:sz w:val="14"/>
        </w:rPr>
        <w:t>MedScrape  |  AI-Assisted Systematic Literature Review  |  USMA Department of Mathematical Sciences  |  Generated: 2026-02-20</w:t>
      </w:r>
    </w:p>
    <w:sectPr w:rsidR="00FC693F" w:rsidRPr="0006063C" w:rsidSect="00034616">
      <w:pgSz w:w="12240" w:h="15840"/>
      <w:pgMar w:top="1080" w:right="1224" w:bottom="86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