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3A5C"/>
          <w:sz w:val="52"/>
          <w:szCs w:val="52"/>
        </w:rPr>
        <w:t xml:space="preserve">OTG AppSuite</w:t>
      </w:r>
    </w:p>
    <w:p>
      <w:pPr>
        <w:spacing w:before="0" w:after="40"/>
      </w:pPr>
      <w:r>
        <w:rPr>
          <w:rFonts w:ascii="Arial" w:cs="Arial" w:eastAsia="Arial" w:hAnsi="Arial"/>
          <w:color w:val="4B5563"/>
          <w:sz w:val="28"/>
          <w:szCs w:val="28"/>
        </w:rPr>
        <w:t xml:space="preserve">Lone Worker Safety Platform</w:t>
      </w:r>
    </w:p>
    <w:p>
      <w:pPr>
        <w:pBdr>
          <w:bottom w:val="single" w:color="1A3A5C" w:sz="12" w:space="6"/>
        </w:pBdr>
        <w:spacing w:before="0" w:after="240"/>
      </w:pPr>
      <w:r>
        <w:rPr>
          <w:rFonts w:ascii="Arial" w:cs="Arial" w:eastAsia="Arial" w:hAnsi="Arial"/>
          <w:b/>
          <w:bCs/>
          <w:color w:val="374151"/>
          <w:sz w:val="24"/>
          <w:szCs w:val="24"/>
        </w:rPr>
        <w:t xml:space="preserve">Technical Architecture and Security Overview — For IT Advisors</w:t>
      </w:r>
    </w:p>
    <w:p>
      <w:pPr>
        <w:spacing w:before="80" w:after="0"/>
      </w:pPr>
      <w:r>
        <w:t xml:space="preserve"/>
      </w:r>
    </w:p>
    <w:p>
      <w:pPr>
        <w:spacing w:before="60" w:after="120"/>
      </w:pPr>
      <w:r>
        <w:rPr>
          <w:rFonts w:ascii="Arial" w:cs="Arial" w:eastAsia="Arial" w:hAnsi="Arial"/>
          <w:sz w:val="22"/>
          <w:szCs w:val="22"/>
        </w:rPr>
        <w:t xml:space="preserve">This document is intended for IT professionals evaluating the OTG AppSuite on behalf of an organisation considering its adoption. It covers the system architecture, hosting model, data flows, security controls, browser and device requirements, known limitations, and relevant considerations for compliance and privacy.</w:t>
      </w:r>
    </w:p>
    <w:p>
      <w:pPr>
        <w:spacing w:before="120" w:after="0"/>
      </w:pPr>
      <w:r>
        <w:t xml:space="preserve"/>
      </w:r>
    </w:p>
    <w:p>
      <w:pPr>
        <w:pStyle w:val="Heading1"/>
        <w:pBdr>
          <w:bottom w:val="single" w:color="1A3A5C" w:sz="8" w:space="4"/>
        </w:pBdr>
        <w:spacing w:before="320" w:after="120"/>
      </w:pPr>
      <w:r>
        <w:rPr>
          <w:rFonts w:ascii="Arial" w:cs="Arial" w:eastAsia="Arial" w:hAnsi="Arial"/>
          <w:b/>
          <w:bCs/>
          <w:color w:val="1A3A5C"/>
          <w:sz w:val="32"/>
          <w:szCs w:val="32"/>
        </w:rPr>
        <w:t xml:space="preserve">1. System Architecture Overview</w:t>
      </w:r>
    </w:p>
    <w:p>
      <w:pPr>
        <w:spacing w:before="60" w:after="120"/>
      </w:pPr>
      <w:r>
        <w:rPr>
          <w:rFonts w:ascii="Arial" w:cs="Arial" w:eastAsia="Arial" w:hAnsi="Arial"/>
          <w:sz w:val="22"/>
          <w:szCs w:val="22"/>
        </w:rPr>
        <w:t xml:space="preserve">The OTG AppSuite consists of four components. Three are runtime components used in day-to-day operation; one is an administrative tool used only during deployment.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8"/>
              <w:left w:val="single" w:color="93C5FD" w:sz="8"/>
              <w:bottom w:val="single" w:color="93C5FD" w:sz="8"/>
              <w:right w:val="single" w:color="93C5FD" w:sz="8"/>
            </w:tcBorders>
            <w:shd w:fill="EFF6FF" w:val="clear"/>
            <w:tcMar>
              <w:top w:type="dxa" w:w="120"/>
              <w:left w:type="dxa" w:w="240"/>
              <w:bottom w:type="dxa" w:w="120"/>
              <w:right w:type="dxa" w:w="240"/>
            </w:tcMar>
          </w:tcPr>
          <w:p>
            <w:pPr>
              <w:spacing w:before="40" w:after="60"/>
            </w:pPr>
            <w:r>
              <w:rPr>
                <w:rFonts w:ascii="Courier New" w:cs="Courier New" w:eastAsia="Courier New" w:hAnsi="Courier New"/>
                <w:b/>
                <w:bCs/>
                <w:sz w:val="20"/>
                <w:szCs w:val="20"/>
              </w:rPr>
              <w:t xml:space="preserve">Worker App (PWA)</w:t>
            </w:r>
            <w:r>
              <w:rPr>
                <w:rFonts w:ascii="Arial" w:cs="Arial" w:eastAsia="Arial" w:hAnsi="Arial"/>
                <w:sz w:val="20"/>
                <w:szCs w:val="20"/>
              </w:rPr>
              <w:t xml:space="preserve">  ↔  HTTPS POST/GET  ↔  </w:t>
            </w:r>
            <w:r>
              <w:rPr>
                <w:rFonts w:ascii="Courier New" w:cs="Courier New" w:eastAsia="Courier New" w:hAnsi="Courier New"/>
                <w:b/>
                <w:bCs/>
                <w:sz w:val="20"/>
                <w:szCs w:val="20"/>
              </w:rPr>
              <w:t xml:space="preserve">Backend (Google Apps Script / Sheets)</w:t>
            </w:r>
          </w:p>
          <w:p>
            <w:pPr>
              <w:spacing w:before="40" w:after="60"/>
            </w:pPr>
            <w:r>
              <w:rPr>
                <w:rFonts w:ascii="Courier New" w:cs="Courier New" w:eastAsia="Courier New" w:hAnsi="Courier New"/>
                <w:b/>
                <w:bCs/>
                <w:sz w:val="20"/>
                <w:szCs w:val="20"/>
              </w:rPr>
              <w:t xml:space="preserve">Monitor App (Browser)</w:t>
            </w:r>
            <w:r>
              <w:rPr>
                <w:rFonts w:ascii="Arial" w:cs="Arial" w:eastAsia="Arial" w:hAnsi="Arial"/>
                <w:sz w:val="20"/>
                <w:szCs w:val="20"/>
              </w:rPr>
              <w:t xml:space="preserve">  →  HTTPS GET  →  </w:t>
            </w:r>
            <w:r>
              <w:rPr>
                <w:rFonts w:ascii="Courier New" w:cs="Courier New" w:eastAsia="Courier New" w:hAnsi="Courier New"/>
                <w:b/>
                <w:bCs/>
                <w:sz w:val="20"/>
                <w:szCs w:val="20"/>
              </w:rPr>
              <w:t xml:space="preserve">Same Backend (read-only endpoint)</w:t>
            </w:r>
          </w:p>
          <w:p>
            <w:pPr>
              <w:spacing w:before="40" w:after="60"/>
            </w:pPr>
            <w:r>
              <w:rPr>
                <w:rFonts w:ascii="Courier New" w:cs="Courier New" w:eastAsia="Courier New" w:hAnsi="Courier New"/>
                <w:b/>
                <w:bCs/>
                <w:sz w:val="20"/>
                <w:szCs w:val="20"/>
              </w:rPr>
              <w:t xml:space="preserve">App Factory</w:t>
            </w:r>
            <w:r>
              <w:rPr>
                <w:rFonts w:ascii="Arial" w:cs="Arial" w:eastAsia="Arial" w:hAnsi="Arial"/>
                <w:sz w:val="20"/>
                <w:szCs w:val="20"/>
              </w:rPr>
              <w:t xml:space="preserve">  (deploy-time only — generates worker app bundles, no runtime role)</w:t>
            </w:r>
          </w:p>
        </w:tc>
      </w:tr>
    </w:tbl>
    <w:p>
      <w:pPr>
        <w:spacing w:before="120" w:after="0"/>
      </w:pPr>
      <w:r>
        <w:t xml:space="preserve"/>
      </w:r>
    </w:p>
    <w:p>
      <w:pPr>
        <w:pStyle w:val="Heading2"/>
        <w:spacing w:before="240" w:after="80"/>
      </w:pPr>
      <w:r>
        <w:rPr>
          <w:rFonts w:ascii="Arial" w:cs="Arial" w:eastAsia="Arial" w:hAnsi="Arial"/>
          <w:b/>
          <w:bCs/>
          <w:color w:val="1A3A5C"/>
          <w:sz w:val="26"/>
          <w:szCs w:val="26"/>
        </w:rPr>
        <w:t xml:space="preserve">1.1 Worker App</w:t>
      </w:r>
    </w:p>
    <w:p>
      <w:pPr>
        <w:spacing w:before="60" w:after="120"/>
      </w:pPr>
      <w:r>
        <w:rPr>
          <w:rFonts w:ascii="Arial" w:cs="Arial" w:eastAsia="Arial" w:hAnsi="Arial"/>
          <w:sz w:val="22"/>
          <w:szCs w:val="22"/>
        </w:rPr>
        <w:t xml:space="preserve">The Worker App is a Progressive Web Application (PWA). It is a single HTML file containing all application logic and styles, plus a service worker that enables offline operation. There is no native app store involved; workers receive their app as a file and install it by opening it in a browser and adding it to their home screen.</w:t>
      </w:r>
    </w:p>
    <w:p>
      <w:pPr>
        <w:spacing w:before="60" w:after="120"/>
      </w:pPr>
      <w:r>
        <w:rPr>
          <w:rFonts w:ascii="Arial" w:cs="Arial" w:eastAsia="Arial" w:hAnsi="Arial"/>
          <w:sz w:val="22"/>
          <w:szCs w:val="22"/>
        </w:rPr>
        <w:t xml:space="preserve">The App Factory generates a deployment ZIP for each worker containing the canonical Worker App HTML file and a worker-specific configuration file (config.json). The configuration file contains the worker’s name, their API key (prefixed wk_), the backend endpoint URL, and the organisation’s settings. The Worker App HTML itself is a shared, unmodified file — only the configuration differs between workers. On first open, the worker completes a short setup wizard that establishes their local identity and device registration.</w:t>
      </w:r>
    </w:p>
    <w:p>
      <w:pPr>
        <w:pStyle w:val="Heading2"/>
        <w:spacing w:before="240" w:after="80"/>
      </w:pPr>
      <w:r>
        <w:rPr>
          <w:rFonts w:ascii="Arial" w:cs="Arial" w:eastAsia="Arial" w:hAnsi="Arial"/>
          <w:b/>
          <w:bCs/>
          <w:color w:val="1A3A5C"/>
          <w:sz w:val="26"/>
          <w:szCs w:val="26"/>
        </w:rPr>
        <w:t xml:space="preserve">1.2 Backend</w:t>
      </w:r>
    </w:p>
    <w:p>
      <w:pPr>
        <w:spacing w:before="60" w:after="120"/>
      </w:pPr>
      <w:r>
        <w:rPr>
          <w:rFonts w:ascii="Arial" w:cs="Arial" w:eastAsia="Arial" w:hAnsi="Arial"/>
          <w:sz w:val="22"/>
          <w:szCs w:val="22"/>
        </w:rPr>
        <w:t xml:space="preserve">The backend is a Google Apps Script (GAS) web application deployed as a Web App under the organisation’s Google Workspace account. It uses a Google Spreadsheet as its data store. The spreadsheet contains the following tabs:</w:t>
      </w:r>
    </w:p>
    <w:p>
      <w:pPr>
        <w:pStyle w:val="ListParagraph"/>
        <w:numPr>
          <w:ilvl w:val="0"/>
          <w:numId w:val="2"/>
        </w:numPr>
        <w:spacing w:before="40" w:after="60"/>
      </w:pPr>
      <w:r>
        <w:rPr>
          <w:rFonts w:ascii="Arial" w:cs="Arial" w:eastAsia="Arial" w:hAnsi="Arial"/>
          <w:b/>
          <w:bCs/>
          <w:sz w:val="22"/>
          <w:szCs w:val="22"/>
        </w:rPr>
        <w:t xml:space="preserve">Staff: </w:t>
      </w:r>
      <w:r>
        <w:rPr>
          <w:rFonts w:ascii="Arial" w:cs="Arial" w:eastAsia="Arial" w:hAnsi="Arial"/>
          <w:sz w:val="22"/>
          <w:szCs w:val="22"/>
        </w:rPr>
        <w:t xml:space="preserve">Worker names, phone numbers, emergency and escalation contacts, group membership, registered device IDs, and vehicle compliance dates.</w:t>
      </w:r>
    </w:p>
    <w:p>
      <w:pPr>
        <w:pStyle w:val="ListParagraph"/>
        <w:numPr>
          <w:ilvl w:val="0"/>
          <w:numId w:val="2"/>
        </w:numPr>
        <w:spacing w:before="40" w:after="60"/>
      </w:pPr>
      <w:r>
        <w:rPr>
          <w:rFonts w:ascii="Arial" w:cs="Arial" w:eastAsia="Arial" w:hAnsi="Arial"/>
          <w:b/>
          <w:bCs/>
          <w:sz w:val="22"/>
          <w:szCs w:val="22"/>
        </w:rPr>
        <w:t xml:space="preserve">Visits: </w:t>
      </w:r>
      <w:r>
        <w:rPr>
          <w:rFonts w:ascii="Arial" w:cs="Arial" w:eastAsia="Arial" w:hAnsi="Arial"/>
          <w:sz w:val="22"/>
          <w:szCs w:val="22"/>
        </w:rPr>
        <w:t xml:space="preserve">All visit and travel records, alarm status history, GPS coordinates, and report data.</w:t>
      </w:r>
    </w:p>
    <w:p>
      <w:pPr>
        <w:pStyle w:val="ListParagraph"/>
        <w:numPr>
          <w:ilvl w:val="0"/>
          <w:numId w:val="2"/>
        </w:numPr>
        <w:spacing w:before="40" w:after="60"/>
      </w:pPr>
      <w:r>
        <w:rPr>
          <w:rFonts w:ascii="Arial" w:cs="Arial" w:eastAsia="Arial" w:hAnsi="Arial"/>
          <w:b/>
          <w:bCs/>
          <w:sz w:val="22"/>
          <w:szCs w:val="22"/>
        </w:rPr>
        <w:t xml:space="preserve">Sites: </w:t>
      </w:r>
      <w:r>
        <w:rPr>
          <w:rFonts w:ascii="Arial" w:cs="Arial" w:eastAsia="Arial" w:hAnsi="Arial"/>
          <w:sz w:val="22"/>
          <w:szCs w:val="22"/>
        </w:rPr>
        <w:t xml:space="preserve">Authorised site locations with address, contact, and emergency procedure data.</w:t>
      </w:r>
    </w:p>
    <w:p>
      <w:pPr>
        <w:pStyle w:val="ListParagraph"/>
        <w:numPr>
          <w:ilvl w:val="0"/>
          <w:numId w:val="2"/>
        </w:numPr>
        <w:spacing w:before="40" w:after="60"/>
      </w:pPr>
      <w:r>
        <w:rPr>
          <w:rFonts w:ascii="Arial" w:cs="Arial" w:eastAsia="Arial" w:hAnsi="Arial"/>
          <w:b/>
          <w:bCs/>
          <w:sz w:val="22"/>
          <w:szCs w:val="22"/>
        </w:rPr>
        <w:t xml:space="preserve">Templates: </w:t>
      </w:r>
      <w:r>
        <w:rPr>
          <w:rFonts w:ascii="Arial" w:cs="Arial" w:eastAsia="Arial" w:hAnsi="Arial"/>
          <w:sz w:val="22"/>
          <w:szCs w:val="22"/>
        </w:rPr>
        <w:t xml:space="preserve">Form templates defining the questions, field types, and audience for each report form.</w:t>
      </w:r>
    </w:p>
    <w:p>
      <w:pPr>
        <w:pStyle w:val="ListParagraph"/>
        <w:numPr>
          <w:ilvl w:val="0"/>
          <w:numId w:val="2"/>
        </w:numPr>
        <w:spacing w:before="40" w:after="60"/>
      </w:pPr>
      <w:r>
        <w:rPr>
          <w:rFonts w:ascii="Arial" w:cs="Arial" w:eastAsia="Arial" w:hAnsi="Arial"/>
          <w:b/>
          <w:bCs/>
          <w:sz w:val="22"/>
          <w:szCs w:val="22"/>
        </w:rPr>
        <w:t xml:space="preserve">Notices: </w:t>
      </w:r>
      <w:r>
        <w:rPr>
          <w:rFonts w:ascii="Arial" w:cs="Arial" w:eastAsia="Arial" w:hAnsi="Arial"/>
          <w:sz w:val="22"/>
          <w:szCs w:val="22"/>
        </w:rPr>
        <w:t xml:space="preserve">Broadcast notices with priority, content, audience, and status.</w:t>
      </w:r>
    </w:p>
    <w:p>
      <w:pPr>
        <w:pStyle w:val="ListParagraph"/>
        <w:numPr>
          <w:ilvl w:val="0"/>
          <w:numId w:val="2"/>
        </w:numPr>
        <w:spacing w:before="40" w:after="60"/>
      </w:pPr>
      <w:r>
        <w:rPr>
          <w:rFonts w:ascii="Arial" w:cs="Arial" w:eastAsia="Arial" w:hAnsi="Arial"/>
          <w:b/>
          <w:bCs/>
          <w:sz w:val="22"/>
          <w:szCs w:val="22"/>
        </w:rPr>
        <w:t xml:space="preserve">Resources: </w:t>
      </w:r>
      <w:r>
        <w:rPr>
          <w:rFonts w:ascii="Arial" w:cs="Arial" w:eastAsia="Arial" w:hAnsi="Arial"/>
          <w:sz w:val="22"/>
          <w:szCs w:val="22"/>
        </w:rPr>
        <w:t xml:space="preserve">Safety documents and reference materials assigned to workers or groups.</w:t>
      </w:r>
    </w:p>
    <w:p>
      <w:pPr>
        <w:pStyle w:val="ListParagraph"/>
        <w:numPr>
          <w:ilvl w:val="0"/>
          <w:numId w:val="2"/>
        </w:numPr>
        <w:spacing w:before="40" w:after="60"/>
      </w:pPr>
      <w:r>
        <w:rPr>
          <w:rFonts w:ascii="Arial" w:cs="Arial" w:eastAsia="Arial" w:hAnsi="Arial"/>
          <w:b/>
          <w:bCs/>
          <w:sz w:val="22"/>
          <w:szCs w:val="22"/>
        </w:rPr>
        <w:t xml:space="preserve">Archive: </w:t>
      </w:r>
      <w:r>
        <w:rPr>
          <w:rFonts w:ascii="Arial" w:cs="Arial" w:eastAsia="Arial" w:hAnsi="Arial"/>
          <w:sz w:val="22"/>
          <w:szCs w:val="22"/>
        </w:rPr>
        <w:t xml:space="preserve">Visits older than the configured retention period (default 30 days) are moved here automatically.</w:t>
      </w:r>
    </w:p>
    <w:p>
      <w:pPr>
        <w:spacing w:before="60" w:after="0"/>
      </w:pPr>
      <w:r>
        <w:t xml:space="preserve"/>
      </w:r>
    </w:p>
    <w:p>
      <w:pPr>
        <w:spacing w:before="60" w:after="120"/>
      </w:pPr>
      <w:r>
        <w:rPr>
          <w:rFonts w:ascii="Arial" w:cs="Arial" w:eastAsia="Arial" w:hAnsi="Arial"/>
          <w:sz w:val="22"/>
          <w:szCs w:val="22"/>
        </w:rPr>
        <w:t xml:space="preserve">The GAS web app exposes a single HTTPS endpoint for all operations. There is no separate hosting infrastructure; it runs entirely on Google’s servers under the organisation’s Workspace account.</w:t>
      </w:r>
    </w:p>
    <w:p>
      <w:pPr>
        <w:pStyle w:val="Heading2"/>
        <w:spacing w:before="240" w:after="80"/>
      </w:pPr>
      <w:r>
        <w:rPr>
          <w:rFonts w:ascii="Arial" w:cs="Arial" w:eastAsia="Arial" w:hAnsi="Arial"/>
          <w:b/>
          <w:bCs/>
          <w:color w:val="1A3A5C"/>
          <w:sz w:val="26"/>
          <w:szCs w:val="26"/>
        </w:rPr>
        <w:t xml:space="preserve">1.3 Monitor App</w:t>
      </w:r>
    </w:p>
    <w:p>
      <w:pPr>
        <w:spacing w:before="60" w:after="120"/>
      </w:pPr>
      <w:r>
        <w:rPr>
          <w:rFonts w:ascii="Arial" w:cs="Arial" w:eastAsia="Arial" w:hAnsi="Arial"/>
          <w:sz w:val="22"/>
          <w:szCs w:val="22"/>
        </w:rPr>
        <w:t xml:space="preserve">The Monitor App is a browser-based dashboard, also a single HTML file, that polls the backend on a short interval to retrieve active worker data. It uses a separate master-level API key to access a read-only aggregation endpoint. It can be run from any device with a browser and does not require installation.</w:t>
      </w:r>
    </w:p>
    <w:p>
      <w:pPr>
        <w:spacing w:before="60" w:after="120"/>
      </w:pPr>
      <w:r>
        <w:rPr>
          <w:rFonts w:ascii="Arial" w:cs="Arial" w:eastAsia="Arial" w:hAnsi="Arial"/>
          <w:sz w:val="22"/>
          <w:szCs w:val="22"/>
        </w:rPr>
        <w:t xml:space="preserve">The Monitor emits an audible alarm and full-screen overlay when a worker becomes overdue or triggers an alarm. This is contingent on someone actively having the Monitor open in a browser tab — there is no background notification service on the monitor side. Out-of-hours or unattended periods should be factored into deployment planning.</w:t>
      </w:r>
    </w:p>
    <w:p>
      <w:pPr>
        <w:pStyle w:val="Heading2"/>
        <w:spacing w:before="240" w:after="80"/>
      </w:pPr>
      <w:r>
        <w:rPr>
          <w:rFonts w:ascii="Arial" w:cs="Arial" w:eastAsia="Arial" w:hAnsi="Arial"/>
          <w:b/>
          <w:bCs/>
          <w:color w:val="1A3A5C"/>
          <w:sz w:val="26"/>
          <w:szCs w:val="26"/>
        </w:rPr>
        <w:t xml:space="preserve">1.4 App Factory</w:t>
      </w:r>
    </w:p>
    <w:p>
      <w:pPr>
        <w:spacing w:before="60" w:after="120"/>
      </w:pPr>
      <w:r>
        <w:rPr>
          <w:rFonts w:ascii="Arial" w:cs="Arial" w:eastAsia="Arial" w:hAnsi="Arial"/>
          <w:sz w:val="22"/>
          <w:szCs w:val="22"/>
        </w:rPr>
        <w:t xml:space="preserve">The App Factory is a standalone HTML file used by administrators to generate worker deployment bundles. It has no backend role and makes no network calls during operation. It reads template files, combines them with worker-specific configuration, and produces a downloadable ZIP containing the Worker App HTML, a config.json, and a service worker manifest. It is used only at deployment time and when onboarding new workers.</w:t>
      </w:r>
    </w:p>
    <w:p>
      <w:pPr>
        <w:spacing w:before="120" w:after="0"/>
      </w:pPr>
      <w:r>
        <w:t xml:space="preserve"/>
      </w:r>
    </w:p>
    <w:p>
      <w:pPr>
        <w:pStyle w:val="Heading1"/>
        <w:pBdr>
          <w:bottom w:val="single" w:color="1A3A5C" w:sz="8" w:space="4"/>
        </w:pBdr>
        <w:spacing w:before="320" w:after="120"/>
      </w:pPr>
      <w:r>
        <w:rPr>
          <w:rFonts w:ascii="Arial" w:cs="Arial" w:eastAsia="Arial" w:hAnsi="Arial"/>
          <w:b/>
          <w:bCs/>
          <w:color w:val="1A3A5C"/>
          <w:sz w:val="32"/>
          <w:szCs w:val="32"/>
        </w:rPr>
        <w:t xml:space="preserve">2. Authentication and Security Controls</w:t>
      </w:r>
    </w:p>
    <w:p>
      <w:pPr>
        <w:pStyle w:val="Heading2"/>
        <w:spacing w:before="240" w:after="80"/>
      </w:pPr>
      <w:r>
        <w:rPr>
          <w:rFonts w:ascii="Arial" w:cs="Arial" w:eastAsia="Arial" w:hAnsi="Arial"/>
          <w:b/>
          <w:bCs/>
          <w:color w:val="1A3A5C"/>
          <w:sz w:val="26"/>
          <w:szCs w:val="26"/>
        </w:rPr>
        <w:t xml:space="preserve">2.1 API Key Architecture</w:t>
      </w:r>
    </w:p>
    <w:p>
      <w:pPr>
        <w:spacing w:before="60" w:after="120"/>
      </w:pPr>
      <w:r>
        <w:rPr>
          <w:rFonts w:ascii="Arial" w:cs="Arial" w:eastAsia="Arial" w:hAnsi="Arial"/>
          <w:sz w:val="22"/>
          <w:szCs w:val="22"/>
        </w:rPr>
        <w:t xml:space="preserve">The system uses two classes of API key, both stored in configuration rather than being user-visible: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6"/>
              <w:left w:val="single" w:color="CCCCCC" w:sz="6"/>
              <w:bottom w:val="single" w:color="CCCCCC" w:sz="6"/>
              <w:right w:val="single" w:color="CCCCCC" w:sz="6"/>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Key Type</w:t>
            </w:r>
          </w:p>
        </w:tc>
        <w:tc>
          <w:tcPr>
            <w:tcW w:type="dxa" w:w="6360"/>
            <w:tcBorders>
              <w:top w:val="single" w:color="CCCCCC" w:sz="6"/>
              <w:left w:val="single" w:color="CCCCCC" w:sz="6"/>
              <w:bottom w:val="single" w:color="CCCCCC" w:sz="6"/>
              <w:right w:val="single" w:color="CCCCCC" w:sz="6"/>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Scope and Use</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Worker Key</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Unique per worker (format: wk_xxxxx). Grants access to the sync endpoint for that worker’s data only. Cannot access other workers’ records or the monitor endpoint. Stored in the worker’s config.json.</w:t>
            </w:r>
          </w:p>
        </w:tc>
      </w:tr>
      <w:tr>
        <w:trPr>
          <w:tblHeader w:val="false"/>
        </w:trPr>
        <w:tc>
          <w:tcPr>
            <w:tcW w:type="dxa" w:w="30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Master Key</w:t>
            </w:r>
          </w:p>
        </w:tc>
        <w:tc>
          <w:tcPr>
            <w:tcW w:type="dxa" w:w="63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Single key for the organisation. Required for the Monitor App and administrative backend operations. Should be treated as a secret credential and not distributed to workers.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8"/>
              <w:left w:val="single" w:color="93C5FD" w:sz="8"/>
              <w:bottom w:val="single" w:color="93C5FD" w:sz="8"/>
              <w:right w:val="single" w:color="93C5FD" w:sz="8"/>
            </w:tcBorders>
            <w:shd w:fill="EFF6FF" w:val="clear"/>
            <w:tcMar>
              <w:top w:type="dxa" w:w="120"/>
              <w:left w:type="dxa" w:w="240"/>
              <w:bottom w:type="dxa" w:w="120"/>
              <w:right w:type="dxa" w:w="240"/>
            </w:tcMar>
          </w:tcPr>
          <w:p>
            <w:pPr>
              <w:spacing w:before="40" w:after="40"/>
            </w:pPr>
            <w:r>
              <w:rPr>
                <w:rFonts w:ascii="Arial" w:cs="Arial" w:eastAsia="Arial" w:hAnsi="Arial"/>
                <w:b/>
                <w:bCs/>
                <w:sz w:val="22"/>
                <w:szCs w:val="22"/>
              </w:rPr>
              <w:t xml:space="preserve">Security model note: </w:t>
            </w:r>
            <w:r>
              <w:rPr>
                <w:rFonts w:ascii="Arial" w:cs="Arial" w:eastAsia="Arial" w:hAnsi="Arial"/>
                <w:sz w:val="22"/>
                <w:szCs w:val="22"/>
              </w:rPr>
              <w:t xml:space="preserve">The worker key is stored in config.json within the worker’s app bundle. Anyone with access to the bundle files can extract it. The security model relies on device binding (see 2.2) to prevent key reuse on another device, not on the key being secret from the holder.</w:t>
            </w:r>
          </w:p>
        </w:tc>
      </w:tr>
    </w:tbl>
    <w:p>
      <w:pPr>
        <w:spacing w:before="120" w:after="0"/>
      </w:pPr>
      <w:r>
        <w:t xml:space="preserve"/>
      </w:r>
    </w:p>
    <w:p>
      <w:pPr>
        <w:pStyle w:val="Heading2"/>
        <w:spacing w:before="240" w:after="80"/>
      </w:pPr>
      <w:r>
        <w:rPr>
          <w:rFonts w:ascii="Arial" w:cs="Arial" w:eastAsia="Arial" w:hAnsi="Arial"/>
          <w:b/>
          <w:bCs/>
          <w:color w:val="1A3A5C"/>
          <w:sz w:val="26"/>
          <w:szCs w:val="26"/>
        </w:rPr>
        <w:t xml:space="preserve">2.2 Device Binding</w:t>
      </w:r>
    </w:p>
    <w:p>
      <w:pPr>
        <w:spacing w:before="60" w:after="120"/>
      </w:pPr>
      <w:r>
        <w:rPr>
          <w:rFonts w:ascii="Arial" w:cs="Arial" w:eastAsia="Arial" w:hAnsi="Arial"/>
          <w:sz w:val="22"/>
          <w:szCs w:val="22"/>
        </w:rPr>
        <w:t xml:space="preserve">Each Worker App registers a device identity on first use. The device ID is a stable pseudorandom identifier derived from browser properties (not a hardware identifier, as those are not accessible from a web app). This ID is written to the Staff sheet during the setup wizard.</w:t>
      </w:r>
    </w:p>
    <w:p>
      <w:pPr>
        <w:spacing w:before="60" w:after="120"/>
      </w:pPr>
      <w:r>
        <w:rPr>
          <w:rFonts w:ascii="Arial" w:cs="Arial" w:eastAsia="Arial" w:hAnsi="Arial"/>
          <w:sz w:val="22"/>
          <w:szCs w:val="22"/>
        </w:rPr>
        <w:t xml:space="preserve">Every subsequent request to the backend includes the device ID. The backend validates it against the registered ID for that worker. If they do not match, all data requests are denied — the worker sees an ‘Authorised Device’ error. This prevents a copied or forwarded app bundle from being used on a different device. The binding can only be cleared by an administrator editing the Staff sheet directly.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8"/>
              <w:left w:val="single" w:color="93C5FD" w:sz="8"/>
              <w:bottom w:val="single" w:color="93C5FD" w:sz="8"/>
              <w:right w:val="single" w:color="93C5FD" w:sz="8"/>
            </w:tcBorders>
            <w:shd w:fill="EFF6FF" w:val="clear"/>
            <w:tcMar>
              <w:top w:type="dxa" w:w="120"/>
              <w:left w:type="dxa" w:w="240"/>
              <w:bottom w:type="dxa" w:w="120"/>
              <w:right w:type="dxa" w:w="240"/>
            </w:tcMar>
          </w:tcPr>
          <w:p>
            <w:pPr>
              <w:spacing w:before="40" w:after="40"/>
            </w:pPr>
            <w:r>
              <w:rPr>
                <w:rFonts w:ascii="Arial" w:cs="Arial" w:eastAsia="Arial" w:hAnsi="Arial"/>
                <w:b/>
                <w:bCs/>
                <w:sz w:val="22"/>
                <w:szCs w:val="22"/>
              </w:rPr>
              <w:t xml:space="preserve">Limitation: </w:t>
            </w:r>
            <w:r>
              <w:rPr>
                <w:rFonts w:ascii="Arial" w:cs="Arial" w:eastAsia="Arial" w:hAnsi="Arial"/>
                <w:sz w:val="22"/>
                <w:szCs w:val="22"/>
              </w:rPr>
              <w:t xml:space="preserve">Because the device ID is derived from browser properties rather than hardware, it may change if the worker clears all browser data, reinstalls the operating system, or switches browsers. The fix is straightforward — an admin clears the registered ID in the Staff sheet. Organisations with very high security requirements may prefer a native app solution with hardware-level device binding.</w:t>
            </w:r>
          </w:p>
        </w:tc>
      </w:tr>
    </w:tbl>
    <w:p>
      <w:pPr>
        <w:spacing w:before="120" w:after="0"/>
      </w:pPr>
      <w:r>
        <w:t xml:space="preserve"/>
      </w:r>
    </w:p>
    <w:p>
      <w:pPr>
        <w:pStyle w:val="Heading2"/>
        <w:spacing w:before="240" w:after="80"/>
      </w:pPr>
      <w:r>
        <w:rPr>
          <w:rFonts w:ascii="Arial" w:cs="Arial" w:eastAsia="Arial" w:hAnsi="Arial"/>
          <w:b/>
          <w:bCs/>
          <w:color w:val="1A3A5C"/>
          <w:sz w:val="26"/>
          <w:szCs w:val="26"/>
        </w:rPr>
        <w:t xml:space="preserve">2.3 Transport Security</w:t>
      </w:r>
    </w:p>
    <w:p>
      <w:pPr>
        <w:spacing w:before="60" w:after="120"/>
      </w:pPr>
      <w:r>
        <w:rPr>
          <w:rFonts w:ascii="Arial" w:cs="Arial" w:eastAsia="Arial" w:hAnsi="Arial"/>
          <w:sz w:val="22"/>
          <w:szCs w:val="22"/>
        </w:rPr>
        <w:t xml:space="preserve">All communication between the Worker App and the backend uses HTTPS. The Apps Script endpoint is served under Google’s TLS infrastructure. Google enforces HTTPS on all Apps Script web app URLs — plain HTTP is not possible.</w:t>
      </w:r>
    </w:p>
    <w:p>
      <w:pPr>
        <w:pStyle w:val="Heading2"/>
        <w:spacing w:before="240" w:after="80"/>
      </w:pPr>
      <w:r>
        <w:rPr>
          <w:rFonts w:ascii="Arial" w:cs="Arial" w:eastAsia="Arial" w:hAnsi="Arial"/>
          <w:b/>
          <w:bCs/>
          <w:color w:val="1A3A5C"/>
          <w:sz w:val="26"/>
          <w:szCs w:val="26"/>
        </w:rPr>
        <w:t xml:space="preserve">2.4 Input Validation and Injection Prevention</w:t>
      </w:r>
    </w:p>
    <w:p>
      <w:pPr>
        <w:spacing w:before="60" w:after="120"/>
      </w:pPr>
      <w:r>
        <w:rPr>
          <w:rFonts w:ascii="Arial" w:cs="Arial" w:eastAsia="Arial" w:hAnsi="Arial"/>
          <w:sz w:val="22"/>
          <w:szCs w:val="22"/>
        </w:rPr>
        <w:t xml:space="preserve">Worker names submitted to the backend are sanitised before use in spreadsheet operations. The backend checks that names consist only of printable characters and strips anything that could be interpreted as a spreadsheet formula (strings beginning with =, +, -, or @). GPS coordinate fields are validated as numeric pairs before insertion. Form data is stored as plain text values — not evaluated — by the Google Sheets API.</w:t>
      </w:r>
    </w:p>
    <w:p>
      <w:pPr>
        <w:pStyle w:val="Heading2"/>
        <w:spacing w:before="240" w:after="80"/>
      </w:pPr>
      <w:r>
        <w:rPr>
          <w:rFonts w:ascii="Arial" w:cs="Arial" w:eastAsia="Arial" w:hAnsi="Arial"/>
          <w:b/>
          <w:bCs/>
          <w:color w:val="1A3A5C"/>
          <w:sz w:val="26"/>
          <w:szCs w:val="26"/>
        </w:rPr>
        <w:t xml:space="preserve">2.5 PII Redaction</w:t>
      </w:r>
    </w:p>
    <w:p>
      <w:pPr>
        <w:spacing w:before="60" w:after="120"/>
      </w:pPr>
      <w:r>
        <w:rPr>
          <w:rFonts w:ascii="Arial" w:cs="Arial" w:eastAsia="Arial" w:hAnsi="Arial"/>
          <w:sz w:val="22"/>
          <w:szCs w:val="22"/>
        </w:rPr>
        <w:t xml:space="preserve">An optional PII redaction feature can be enabled in the backend configuration. When active, worker-submitted notes are scanned for email addresses and phone numbers matching local number patterns before any AI processing occurs. Detected values are replaced with [EMAIL_REDACTED] or [PHONE_REDACTED] tokens before the data leaves the system.</w:t>
      </w:r>
    </w:p>
    <w:p>
      <w:pPr>
        <w:pStyle w:val="Heading2"/>
        <w:spacing w:before="240" w:after="80"/>
      </w:pPr>
      <w:r>
        <w:rPr>
          <w:rFonts w:ascii="Arial" w:cs="Arial" w:eastAsia="Arial" w:hAnsi="Arial"/>
          <w:b/>
          <w:bCs/>
          <w:color w:val="1A3A5C"/>
          <w:sz w:val="26"/>
          <w:szCs w:val="26"/>
        </w:rPr>
        <w:t xml:space="preserve">2.6 Duress System</w:t>
      </w:r>
    </w:p>
    <w:p>
      <w:pPr>
        <w:spacing w:before="60" w:after="120"/>
      </w:pPr>
      <w:r>
        <w:rPr>
          <w:rFonts w:ascii="Arial" w:cs="Arial" w:eastAsia="Arial" w:hAnsi="Arial"/>
          <w:sz w:val="22"/>
          <w:szCs w:val="22"/>
        </w:rPr>
        <w:t xml:space="preserve">Workers configure a secondary duress PIN during setup. This PIN is stored locally in the app’s state in the browser’s localStorage and is never transmitted to the backend. When entered, the app triggers a silent backend alert flagged as DURESS while displaying a deceptive ‘System Reset Successful’ message locally. This mechanism is entirely client-side; the deception works because no visual feedback distinguishes it from a normal PIN entry.</w:t>
      </w:r>
    </w:p>
    <w:p>
      <w:pPr>
        <w:spacing w:before="120" w:after="0"/>
      </w:pPr>
      <w:r>
        <w:t xml:space="preserve"/>
      </w:r>
    </w:p>
    <w:p>
      <w:pPr>
        <w:pStyle w:val="Heading1"/>
        <w:pBdr>
          <w:bottom w:val="single" w:color="1A3A5C" w:sz="8" w:space="4"/>
        </w:pBdr>
        <w:spacing w:before="320" w:after="120"/>
      </w:pPr>
      <w:r>
        <w:rPr>
          <w:rFonts w:ascii="Arial" w:cs="Arial" w:eastAsia="Arial" w:hAnsi="Arial"/>
          <w:b/>
          <w:bCs/>
          <w:color w:val="1A3A5C"/>
          <w:sz w:val="32"/>
          <w:szCs w:val="32"/>
        </w:rPr>
        <w:t xml:space="preserve">3. Data Flows</w:t>
      </w:r>
    </w:p>
    <w:p>
      <w:pPr>
        <w:pStyle w:val="Heading2"/>
        <w:spacing w:before="240" w:after="80"/>
      </w:pPr>
      <w:r>
        <w:rPr>
          <w:rFonts w:ascii="Arial" w:cs="Arial" w:eastAsia="Arial" w:hAnsi="Arial"/>
          <w:b/>
          <w:bCs/>
          <w:color w:val="1A3A5C"/>
          <w:sz w:val="26"/>
          <w:szCs w:val="26"/>
        </w:rPr>
        <w:t xml:space="preserve">3.1 Worker to Backend (Outbound)</w:t>
      </w:r>
    </w:p>
    <w:p>
      <w:pPr>
        <w:spacing w:before="60" w:after="120"/>
      </w:pPr>
      <w:r>
        <w:rPr>
          <w:rFonts w:ascii="Arial" w:cs="Arial" w:eastAsia="Arial" w:hAnsi="Arial"/>
          <w:sz w:val="22"/>
          <w:szCs w:val="22"/>
        </w:rPr>
        <w:t xml:space="preserve">The Worker App communicates with the backend via HTTPS POST requests. The following actions each generate a POST:</w:t>
      </w:r>
    </w:p>
    <w:p>
      <w:pPr>
        <w:pStyle w:val="ListParagraph"/>
        <w:numPr>
          <w:ilvl w:val="0"/>
          <w:numId w:val="2"/>
        </w:numPr>
        <w:spacing w:before="40" w:after="60"/>
      </w:pPr>
      <w:r>
        <w:rPr>
          <w:rFonts w:ascii="Arial" w:cs="Arial" w:eastAsia="Arial" w:hAnsi="Arial"/>
          <w:b/>
          <w:bCs/>
          <w:sz w:val="22"/>
          <w:szCs w:val="22"/>
        </w:rPr>
        <w:t xml:space="preserve">Visit Start (ARRIVED / TRAVELLING): </w:t>
      </w:r>
      <w:r>
        <w:rPr>
          <w:rFonts w:ascii="Arial" w:cs="Arial" w:eastAsia="Arial" w:hAnsi="Arial"/>
          <w:sz w:val="22"/>
          <w:szCs w:val="22"/>
        </w:rPr>
        <w:t xml:space="preserve">Worker name, location, GPS coordinates, anticipated departure time, alarm status, battery level, emergency contact details.</w:t>
      </w:r>
    </w:p>
    <w:p>
      <w:pPr>
        <w:pStyle w:val="ListParagraph"/>
        <w:numPr>
          <w:ilvl w:val="0"/>
          <w:numId w:val="2"/>
        </w:numPr>
        <w:spacing w:before="40" w:after="60"/>
      </w:pPr>
      <w:r>
        <w:rPr>
          <w:rFonts w:ascii="Arial" w:cs="Arial" w:eastAsia="Arial" w:hAnsi="Arial"/>
          <w:b/>
          <w:bCs/>
          <w:sz w:val="22"/>
          <w:szCs w:val="22"/>
        </w:rPr>
        <w:t xml:space="preserve">Visit End (DEPARTED / COMPLETED): </w:t>
      </w:r>
      <w:r>
        <w:rPr>
          <w:rFonts w:ascii="Arial" w:cs="Arial" w:eastAsia="Arial" w:hAnsi="Arial"/>
          <w:sz w:val="22"/>
          <w:szCs w:val="22"/>
        </w:rPr>
        <w:t xml:space="preserve">Same fields plus end GPS, distance travelled, report form data, photo attachments (base64-encoded JPEG), and digital signature (base64-encoded PNG).</w:t>
      </w:r>
    </w:p>
    <w:p>
      <w:pPr>
        <w:pStyle w:val="ListParagraph"/>
        <w:numPr>
          <w:ilvl w:val="0"/>
          <w:numId w:val="2"/>
        </w:numPr>
        <w:spacing w:before="40" w:after="60"/>
      </w:pPr>
      <w:r>
        <w:rPr>
          <w:rFonts w:ascii="Arial" w:cs="Arial" w:eastAsia="Arial" w:hAnsi="Arial"/>
          <w:b/>
          <w:bCs/>
          <w:sz w:val="22"/>
          <w:szCs w:val="22"/>
        </w:rPr>
        <w:t xml:space="preserve">Alarm Events (PANIC / DURESS / OVERDUE): </w:t>
      </w:r>
      <w:r>
        <w:rPr>
          <w:rFonts w:ascii="Arial" w:cs="Arial" w:eastAsia="Arial" w:hAnsi="Arial"/>
          <w:sz w:val="22"/>
          <w:szCs w:val="22"/>
        </w:rPr>
        <w:t xml:space="preserve">Worker identity, GPS, timestamp, alarm type.</w:t>
      </w:r>
    </w:p>
    <w:p>
      <w:pPr>
        <w:pStyle w:val="ListParagraph"/>
        <w:numPr>
          <w:ilvl w:val="0"/>
          <w:numId w:val="2"/>
        </w:numPr>
        <w:spacing w:before="40" w:after="60"/>
      </w:pPr>
      <w:r>
        <w:rPr>
          <w:rFonts w:ascii="Arial" w:cs="Arial" w:eastAsia="Arial" w:hAnsi="Arial"/>
          <w:b/>
          <w:bCs/>
          <w:sz w:val="22"/>
          <w:szCs w:val="22"/>
        </w:rPr>
        <w:t xml:space="preserve">Notice Acknowledgement: </w:t>
      </w:r>
      <w:r>
        <w:rPr>
          <w:rFonts w:ascii="Arial" w:cs="Arial" w:eastAsia="Arial" w:hAnsi="Arial"/>
          <w:sz w:val="22"/>
          <w:szCs w:val="22"/>
        </w:rPr>
        <w:t xml:space="preserve">Worker identity, notice ID, timestamp.</w:t>
      </w:r>
    </w:p>
    <w:p>
      <w:pPr>
        <w:pStyle w:val="ListParagraph"/>
        <w:numPr>
          <w:ilvl w:val="0"/>
          <w:numId w:val="2"/>
        </w:numPr>
        <w:spacing w:before="40" w:after="60"/>
      </w:pPr>
      <w:r>
        <w:rPr>
          <w:rFonts w:ascii="Arial" w:cs="Arial" w:eastAsia="Arial" w:hAnsi="Arial"/>
          <w:b/>
          <w:bCs/>
          <w:sz w:val="22"/>
          <w:szCs w:val="22"/>
        </w:rPr>
        <w:t xml:space="preserve">Device Registration: </w:t>
      </w:r>
      <w:r>
        <w:rPr>
          <w:rFonts w:ascii="Arial" w:cs="Arial" w:eastAsia="Arial" w:hAnsi="Arial"/>
          <w:sz w:val="22"/>
          <w:szCs w:val="22"/>
        </w:rPr>
        <w:t xml:space="preserve">Worker name, device ID.</w:t>
      </w:r>
    </w:p>
    <w:p>
      <w:pPr>
        <w:spacing w:before="60" w:after="0"/>
      </w:pPr>
      <w:r>
        <w:t xml:space="preserve"/>
      </w:r>
    </w:p>
    <w:p>
      <w:pPr>
        <w:spacing w:before="60" w:after="120"/>
      </w:pPr>
      <w:r>
        <w:rPr>
          <w:rFonts w:ascii="Arial" w:cs="Arial" w:eastAsia="Arial" w:hAnsi="Arial"/>
          <w:sz w:val="22"/>
          <w:szCs w:val="22"/>
        </w:rPr>
        <w:t xml:space="preserve">Photo and signature data are stored to Google Drive via the backend. The backend creates a folder per worker within a configured Drive folder and saves each image with a timestamped filename.</w:t>
      </w:r>
    </w:p>
    <w:p>
      <w:pPr>
        <w:pStyle w:val="Heading2"/>
        <w:spacing w:before="240" w:after="80"/>
      </w:pPr>
      <w:r>
        <w:rPr>
          <w:rFonts w:ascii="Arial" w:cs="Arial" w:eastAsia="Arial" w:hAnsi="Arial"/>
          <w:b/>
          <w:bCs/>
          <w:color w:val="1A3A5C"/>
          <w:sz w:val="26"/>
          <w:szCs w:val="26"/>
        </w:rPr>
        <w:t xml:space="preserve">3.2 Backend to Worker (Sync)</w:t>
      </w:r>
    </w:p>
    <w:p>
      <w:pPr>
        <w:spacing w:before="60" w:after="120"/>
      </w:pPr>
      <w:r>
        <w:rPr>
          <w:rFonts w:ascii="Arial" w:cs="Arial" w:eastAsia="Arial" w:hAnsi="Arial"/>
          <w:sz w:val="22"/>
          <w:szCs w:val="22"/>
        </w:rPr>
        <w:t xml:space="preserve">The Worker App requests a sync on startup and after each successful upload. The sync response delivers: authorised site list (filtered by worker/group membership), form templates assigned to the worker, active notices, notice history, resource library, worker metadata (vehicle WOF expiry, last vehicle check date), and backend version string. Data received during sync is stored in localStorage and the app functions fully offline using this cached data between syncs.</w:t>
      </w:r>
    </w:p>
    <w:p>
      <w:pPr>
        <w:pStyle w:val="Heading2"/>
        <w:spacing w:before="240" w:after="80"/>
      </w:pPr>
      <w:r>
        <w:rPr>
          <w:rFonts w:ascii="Arial" w:cs="Arial" w:eastAsia="Arial" w:hAnsi="Arial"/>
          <w:b/>
          <w:bCs/>
          <w:color w:val="1A3A5C"/>
          <w:sz w:val="26"/>
          <w:szCs w:val="26"/>
        </w:rPr>
        <w:t xml:space="preserve">3.3 Alert Notifications</w:t>
      </w:r>
    </w:p>
    <w:p>
      <w:pPr>
        <w:spacing w:before="60" w:after="120"/>
      </w:pPr>
      <w:r>
        <w:rPr>
          <w:rFonts w:ascii="Arial" w:cs="Arial" w:eastAsia="Arial" w:hAnsi="Arial"/>
          <w:sz w:val="22"/>
          <w:szCs w:val="22"/>
        </w:rPr>
        <w:t xml:space="preserve">Alarm events trigger two outbound notification channels from the backend:</w:t>
      </w:r>
    </w:p>
    <w:p>
      <w:pPr>
        <w:pStyle w:val="ListParagraph"/>
        <w:numPr>
          <w:ilvl w:val="0"/>
          <w:numId w:val="2"/>
        </w:numPr>
        <w:spacing w:before="40" w:after="60"/>
      </w:pPr>
      <w:r>
        <w:rPr>
          <w:rFonts w:ascii="Arial" w:cs="Arial" w:eastAsia="Arial" w:hAnsi="Arial"/>
          <w:b/>
          <w:bCs/>
          <w:sz w:val="22"/>
          <w:szCs w:val="22"/>
        </w:rPr>
        <w:t xml:space="preserve">Email: </w:t>
      </w:r>
      <w:r>
        <w:rPr>
          <w:rFonts w:ascii="Arial" w:cs="Arial" w:eastAsia="Arial" w:hAnsi="Arial"/>
          <w:sz w:val="22"/>
          <w:szCs w:val="22"/>
        </w:rPr>
        <w:t xml:space="preserve">Sent via the Google Workspace account’s MailApp service to the worker’s emergency contact and escalation contact simultaneously. Emails include worker identity, location, GPS coordinates, a Google Maps link, alarm type, timestamp, and any inline photos.</w:t>
      </w:r>
    </w:p>
    <w:p>
      <w:pPr>
        <w:pStyle w:val="ListParagraph"/>
        <w:numPr>
          <w:ilvl w:val="0"/>
          <w:numId w:val="2"/>
        </w:numPr>
        <w:spacing w:before="40" w:after="60"/>
      </w:pPr>
      <w:r>
        <w:rPr>
          <w:rFonts w:ascii="Arial" w:cs="Arial" w:eastAsia="Arial" w:hAnsi="Arial"/>
          <w:b/>
          <w:bCs/>
          <w:sz w:val="22"/>
          <w:szCs w:val="22"/>
        </w:rPr>
        <w:t xml:space="preserve">SMS: </w:t>
      </w:r>
      <w:r>
        <w:rPr>
          <w:rFonts w:ascii="Arial" w:cs="Arial" w:eastAsia="Arial" w:hAnsi="Arial"/>
          <w:sz w:val="22"/>
          <w:szCs w:val="22"/>
        </w:rPr>
        <w:t xml:space="preserve">Sent via the Textbelt commercial SMS API to both emergency and escalation contacts. SMS delivery is subject to Textbelt service availability and carrier routing.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12"/>
              <w:bottom w:val="single" w:color="F59E0B" w:sz="12"/>
              <w:right w:val="single" w:color="F59E0B" w:sz="12"/>
            </w:tcBorders>
            <w:shd w:fill="FEF3C7" w:val="clear"/>
            <w:tcMar>
              <w:top w:type="dxa" w:w="160"/>
              <w:left w:type="dxa" w:w="240"/>
              <w:bottom w:type="dxa" w:w="160"/>
              <w:right w:type="dxa" w:w="240"/>
            </w:tcMar>
          </w:tcPr>
          <w:p>
            <w:pPr>
              <w:spacing w:before="40" w:after="80"/>
            </w:pPr>
            <w:r>
              <w:rPr>
                <w:rFonts w:ascii="Arial" w:cs="Arial" w:eastAsia="Arial" w:hAnsi="Arial"/>
                <w:b/>
                <w:bCs/>
                <w:color w:val="B45309"/>
                <w:sz w:val="22"/>
                <w:szCs w:val="22"/>
              </w:rPr>
              <w:t xml:space="preserve">⚠️  Important: Alert Destination</w:t>
            </w:r>
          </w:p>
          <w:p>
            <w:pPr>
              <w:spacing w:before="40" w:after="80"/>
            </w:pPr>
            <w:r>
              <w:rPr>
                <w:rFonts w:ascii="Arial" w:cs="Arial" w:eastAsia="Arial" w:hAnsi="Arial"/>
                <w:color w:val="1F2937"/>
                <w:sz w:val="22"/>
                <w:szCs w:val="22"/>
              </w:rPr>
              <w:t xml:space="preserve">Alerts are sent to the organisation’s nominated emergency contacts — not to emergency services. There is no automatic escalation to police, ambulance, or any 24/7 monitoring service. The nominated contact receives the alert and must decide what action to take, including whether to call emergency services. Organisations should ensure that this notification model is appropriate for their risk profile before deployment.</w:t>
            </w:r>
          </w:p>
          <w:p>
            <w:pPr>
              <w:spacing w:before="40" w:after="40"/>
            </w:pPr>
            <w:r>
              <w:rPr>
                <w:rFonts w:ascii="Arial" w:cs="Arial" w:eastAsia="Arial" w:hAnsi="Arial"/>
                <w:b/>
                <w:bCs/>
                <w:color w:val="1F2937"/>
                <w:sz w:val="22"/>
                <w:szCs w:val="22"/>
              </w:rPr>
              <w:t xml:space="preserve">Connectivity dependency: </w:t>
            </w:r>
            <w:r>
              <w:rPr>
                <w:rFonts w:ascii="Arial" w:cs="Arial" w:eastAsia="Arial" w:hAnsi="Arial"/>
                <w:color w:val="1F2937"/>
                <w:sz w:val="22"/>
                <w:szCs w:val="22"/>
              </w:rPr>
              <w:t xml:space="preserve">Alarm notifications require an active internet connection on the worker’s device at the time the alarm fires. If the device is offline, the alarm event is queued locally and will be sent when connectivity is restored. There is no real-time offline alerting mechanism.</w:t>
            </w:r>
          </w:p>
        </w:tc>
      </w:tr>
    </w:tbl>
    <w:p>
      <w:pPr>
        <w:spacing w:before="120" w:after="0"/>
      </w:pPr>
      <w:r>
        <w:t xml:space="preserve"/>
      </w:r>
    </w:p>
    <w:p>
      <w:pPr>
        <w:pStyle w:val="Heading2"/>
        <w:spacing w:before="240" w:after="80"/>
      </w:pPr>
      <w:r>
        <w:rPr>
          <w:rFonts w:ascii="Arial" w:cs="Arial" w:eastAsia="Arial" w:hAnsi="Arial"/>
          <w:b/>
          <w:bCs/>
          <w:color w:val="1A3A5C"/>
          <w:sz w:val="26"/>
          <w:szCs w:val="26"/>
        </w:rPr>
        <w:t xml:space="preserve">3.4 AI Processing</w:t>
      </w:r>
    </w:p>
    <w:p>
      <w:pPr>
        <w:spacing w:before="60" w:after="120"/>
      </w:pPr>
      <w:r>
        <w:rPr>
          <w:rFonts w:ascii="Arial" w:cs="Arial" w:eastAsia="Arial" w:hAnsi="Arial"/>
          <w:sz w:val="22"/>
          <w:szCs w:val="22"/>
        </w:rPr>
        <w:t xml:space="preserve">When AI-assisted report writing is enabled, visit report data is transmitted to the Google Gemini API as part of the backend’s post-processing step. The payload includes the raw form field data and any worker notes from the completed form. No worker identity, GPS, or personal contact data is included in this request. The Gemini API key is stored in the GAS script configuration. Organisations with strict data residency requirements should evaluate whether sending report content to Google’s AI API is compatible with their policies before enabling this feature.</w:t>
      </w:r>
    </w:p>
    <w:p>
      <w:pPr>
        <w:spacing w:before="120" w:after="0"/>
      </w:pPr>
      <w:r>
        <w:t xml:space="preserve"/>
      </w:r>
    </w:p>
    <w:p>
      <w:pPr>
        <w:pStyle w:val="Heading1"/>
        <w:pBdr>
          <w:bottom w:val="single" w:color="1A3A5C" w:sz="8" w:space="4"/>
        </w:pBdr>
        <w:spacing w:before="320" w:after="120"/>
      </w:pPr>
      <w:r>
        <w:rPr>
          <w:rFonts w:ascii="Arial" w:cs="Arial" w:eastAsia="Arial" w:hAnsi="Arial"/>
          <w:b/>
          <w:bCs/>
          <w:color w:val="1A3A5C"/>
          <w:sz w:val="32"/>
          <w:szCs w:val="32"/>
        </w:rPr>
        <w:t xml:space="preserve">4. Offline Capability and Service Worker Caching</w:t>
      </w:r>
    </w:p>
    <w:p>
      <w:pPr>
        <w:spacing w:before="60" w:after="120"/>
      </w:pPr>
      <w:r>
        <w:rPr>
          <w:rFonts w:ascii="Arial" w:cs="Arial" w:eastAsia="Arial" w:hAnsi="Arial"/>
          <w:sz w:val="22"/>
          <w:szCs w:val="22"/>
        </w:rPr>
        <w:t xml:space="preserve">The Worker App registers a service worker on first load. The service worker caches the application shell under a cache name that includes a build timestamp (e.g., otg-safety-v81.36-2026-02-18-m5k3x2a). This ensures each new build produces a distinct cache name. When a new build is available, the service worker’s activate event deletes all older caches and the new version is served from cache on next load.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6"/>
              <w:left w:val="single" w:color="CCCCCC" w:sz="6"/>
              <w:bottom w:val="single" w:color="CCCCCC" w:sz="6"/>
              <w:right w:val="single" w:color="CCCCCC" w:sz="6"/>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Availability</w:t>
            </w:r>
          </w:p>
        </w:tc>
        <w:tc>
          <w:tcPr>
            <w:tcW w:type="dxa" w:w="6360"/>
            <w:tcBorders>
              <w:top w:val="single" w:color="CCCCCC" w:sz="6"/>
              <w:left w:val="single" w:color="CCCCCC" w:sz="6"/>
              <w:bottom w:val="single" w:color="CCCCCC" w:sz="6"/>
              <w:right w:val="single" w:color="CCCCCC" w:sz="6"/>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Detail</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Always available offline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All previously synced site data, form templates, resources, and notice history. The active visit session (timer, state, queued uploads).</w:t>
            </w:r>
          </w:p>
        </w:tc>
      </w:tr>
      <w:tr>
        <w:trPr>
          <w:tblHeader w:val="false"/>
        </w:trPr>
        <w:tc>
          <w:tcPr>
            <w:tcW w:type="dxa" w:w="30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Not available offline</w:t>
            </w:r>
          </w:p>
        </w:tc>
        <w:tc>
          <w:tcPr>
            <w:tcW w:type="dxa" w:w="63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New syncs (site list updates, new notices, WOF expiry changes). Alarm notification delivery to emergency contacts. AI report processing.</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Queued for later</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All upload actions (visit start, end, alarms, form submissions) are stored in a pending outbox queue in localStorage and retried when connectivity resumes.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8"/>
              <w:left w:val="single" w:color="93C5FD" w:sz="8"/>
              <w:bottom w:val="single" w:color="93C5FD" w:sz="8"/>
              <w:right w:val="single" w:color="93C5FD" w:sz="8"/>
            </w:tcBorders>
            <w:shd w:fill="EFF6FF" w:val="clear"/>
            <w:tcMar>
              <w:top w:type="dxa" w:w="120"/>
              <w:left w:type="dxa" w:w="240"/>
              <w:bottom w:type="dxa" w:w="120"/>
              <w:right w:type="dxa" w:w="240"/>
            </w:tcMar>
          </w:tcPr>
          <w:p>
            <w:pPr>
              <w:spacing w:before="40" w:after="40"/>
            </w:pPr>
            <w:r>
              <w:rPr>
                <w:rFonts w:ascii="Arial" w:cs="Arial" w:eastAsia="Arial" w:hAnsi="Arial"/>
                <w:sz w:val="22"/>
                <w:szCs w:val="22"/>
              </w:rPr>
              <w:t xml:space="preserve">Workers who never open the app while online will not receive updates. There is no mechanism to force an update on a device with no internet access. This is a standard limitation of service worker-based PWAs.</w:t>
            </w:r>
          </w:p>
        </w:tc>
      </w:tr>
    </w:tbl>
    <w:p>
      <w:pPr>
        <w:spacing w:before="120" w:after="0"/>
      </w:pPr>
      <w:r>
        <w:t xml:space="preserve"/>
      </w:r>
    </w:p>
    <w:p>
      <w:pPr>
        <w:pStyle w:val="Heading1"/>
        <w:pBdr>
          <w:bottom w:val="single" w:color="1A3A5C" w:sz="8" w:space="4"/>
        </w:pBdr>
        <w:spacing w:before="320" w:after="120"/>
      </w:pPr>
      <w:r>
        <w:rPr>
          <w:rFonts w:ascii="Arial" w:cs="Arial" w:eastAsia="Arial" w:hAnsi="Arial"/>
          <w:b/>
          <w:bCs/>
          <w:color w:val="1A3A5C"/>
          <w:sz w:val="32"/>
          <w:szCs w:val="32"/>
        </w:rPr>
        <w:t xml:space="preserve">5. Device and Browser Requirements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6"/>
              <w:left w:val="single" w:color="CCCCCC" w:sz="6"/>
              <w:bottom w:val="single" w:color="CCCCCC" w:sz="6"/>
              <w:right w:val="single" w:color="CCCCCC" w:sz="6"/>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Requirement</w:t>
            </w:r>
          </w:p>
        </w:tc>
        <w:tc>
          <w:tcPr>
            <w:tcW w:type="dxa" w:w="6560"/>
            <w:tcBorders>
              <w:top w:val="single" w:color="CCCCCC" w:sz="6"/>
              <w:left w:val="single" w:color="CCCCCC" w:sz="6"/>
              <w:bottom w:val="single" w:color="CCCCCC" w:sz="6"/>
              <w:right w:val="single" w:color="CCCCCC" w:sz="6"/>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Detail</w:t>
            </w:r>
          </w:p>
        </w:tc>
      </w:tr>
      <w:tr>
        <w:trPr>
          <w:tblHeader w:val="false"/>
        </w:trPr>
        <w:tc>
          <w:tcPr>
            <w:tcW w:type="dxa" w:w="28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Operating System</w:t>
            </w:r>
          </w:p>
        </w:tc>
        <w:tc>
          <w:tcPr>
            <w:tcW w:type="dxa" w:w="65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iOS 16.4 or later; Android 9 or later. The app will load on older versions but service worker support and the Screen Wake Lock API may be absent.</w:t>
            </w:r>
          </w:p>
        </w:tc>
      </w:tr>
      <w:tr>
        <w:trPr>
          <w:tblHeader w:val="false"/>
        </w:trPr>
        <w:tc>
          <w:tcPr>
            <w:tcW w:type="dxa" w:w="28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Browser</w:t>
            </w:r>
          </w:p>
        </w:tc>
        <w:tc>
          <w:tcPr>
            <w:tcW w:type="dxa" w:w="65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Chrome (Android/Desktop), Safari (iOS 16.4+), Edge (Chromium). Firefox is not recommended due to inconsistent PWA home screen support.</w:t>
            </w:r>
          </w:p>
        </w:tc>
      </w:tr>
      <w:tr>
        <w:trPr>
          <w:tblHeader w:val="false"/>
        </w:trPr>
        <w:tc>
          <w:tcPr>
            <w:tcW w:type="dxa" w:w="28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Screen Wake Lock</w:t>
            </w:r>
          </w:p>
        </w:tc>
        <w:tc>
          <w:tcPr>
            <w:tcW w:type="dxa" w:w="65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Used to prevent the screen from turning off during active visits. Requires the Screen Wake Lock API (Chrome 84+, Safari 16.4+). Graceful fallback if unavailable.</w:t>
            </w:r>
          </w:p>
        </w:tc>
      </w:tr>
      <w:tr>
        <w:trPr>
          <w:tblHeader w:val="false"/>
        </w:trPr>
        <w:tc>
          <w:tcPr>
            <w:tcW w:type="dxa" w:w="28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Device Motion API</w:t>
            </w:r>
          </w:p>
        </w:tc>
        <w:tc>
          <w:tcPr>
            <w:tcW w:type="dxa" w:w="65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Required for shake-to-alert functionality. Granted automatically on Android; requires explicit user permission on iOS 13+. If denied, shake alerting is silently disabled.</w:t>
            </w:r>
          </w:p>
        </w:tc>
      </w:tr>
      <w:tr>
        <w:trPr>
          <w:tblHeader w:val="false"/>
        </w:trPr>
        <w:tc>
          <w:tcPr>
            <w:tcW w:type="dxa" w:w="28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Web Speech API</w:t>
            </w:r>
          </w:p>
        </w:tc>
        <w:tc>
          <w:tcPr>
            <w:tcW w:type="dxa" w:w="65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Used for voice countdown warnings. Present in Chrome and Safari. Not available in Firefox. Graceful fallback to visual-only if absent.</w:t>
            </w:r>
          </w:p>
        </w:tc>
      </w:tr>
      <w:tr>
        <w:trPr>
          <w:tblHeader w:val="false"/>
        </w:trPr>
        <w:tc>
          <w:tcPr>
            <w:tcW w:type="dxa" w:w="28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Geolocation API</w:t>
            </w:r>
          </w:p>
        </w:tc>
        <w:tc>
          <w:tcPr>
            <w:tcW w:type="dxa" w:w="65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Required for GPS capture and travel monitoring. Requires user permission. If denied, GPS records as 0,0 but the safety system otherwise functions normally.</w:t>
            </w:r>
          </w:p>
        </w:tc>
      </w:tr>
      <w:tr>
        <w:trPr>
          <w:tblHeader w:val="false"/>
        </w:trPr>
        <w:tc>
          <w:tcPr>
            <w:tcW w:type="dxa" w:w="28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localStorage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Required for all persistent state. Workers clearing all browser data will lose session state and may need to re-register their device.</w:t>
            </w:r>
          </w:p>
        </w:tc>
      </w:tr>
      <w:tr>
        <w:trPr>
          <w:tblHeader w:val="false"/>
        </w:trPr>
        <w:tc>
          <w:tcPr>
            <w:tcW w:type="dxa" w:w="28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Internet Access</w:t>
            </w:r>
          </w:p>
        </w:tc>
        <w:tc>
          <w:tcPr>
            <w:tcW w:type="dxa" w:w="65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Required for initial setup, syncs, alarm delivery, and AI report processing. Not required for active visit monitoring once the app is loaded.</w:t>
            </w:r>
          </w:p>
        </w:tc>
      </w:tr>
    </w:tbl>
    <w:p>
      <w:pPr>
        <w:spacing w:before="120" w:after="0"/>
      </w:pPr>
      <w:r>
        <w:t xml:space="preserve"/>
      </w:r>
    </w:p>
    <w:p>
      <w:pPr>
        <w:pStyle w:val="Heading1"/>
        <w:pBdr>
          <w:bottom w:val="single" w:color="1A3A5C" w:sz="8" w:space="4"/>
        </w:pBdr>
        <w:spacing w:before="320" w:after="120"/>
      </w:pPr>
      <w:r>
        <w:rPr>
          <w:rFonts w:ascii="Arial" w:cs="Arial" w:eastAsia="Arial" w:hAnsi="Arial"/>
          <w:b/>
          <w:bCs/>
          <w:color w:val="1A3A5C"/>
          <w:sz w:val="32"/>
          <w:szCs w:val="32"/>
        </w:rPr>
        <w:t xml:space="preserve">6. Hosting, Infrastructure, and Dependencies</w:t>
      </w:r>
    </w:p>
    <w:p>
      <w:pPr>
        <w:pStyle w:val="Heading2"/>
        <w:spacing w:before="240" w:after="80"/>
      </w:pPr>
      <w:r>
        <w:rPr>
          <w:rFonts w:ascii="Arial" w:cs="Arial" w:eastAsia="Arial" w:hAnsi="Arial"/>
          <w:b/>
          <w:bCs/>
          <w:color w:val="1A3A5C"/>
          <w:sz w:val="26"/>
          <w:szCs w:val="26"/>
        </w:rPr>
        <w:t xml:space="preserve">6.1 What the Organisation Controls</w:t>
      </w:r>
    </w:p>
    <w:p>
      <w:pPr>
        <w:spacing w:before="60" w:after="120"/>
      </w:pPr>
      <w:r>
        <w:rPr>
          <w:rFonts w:ascii="Arial" w:cs="Arial" w:eastAsia="Arial" w:hAnsi="Arial"/>
          <w:sz w:val="22"/>
          <w:szCs w:val="22"/>
        </w:rPr>
        <w:t xml:space="preserve">The organisation’s Google Workspace account owns and controls all data. The spreadsheet, all visit records, photos stored in Drive, and the Apps Script web app are all assets in the organisation’s own Google account. No data is stored on a third-party server operated by the AppSuite developer.</w:t>
      </w:r>
    </w:p>
    <w:p>
      <w:pPr>
        <w:pStyle w:val="Heading2"/>
        <w:spacing w:before="240" w:after="80"/>
      </w:pPr>
      <w:r>
        <w:rPr>
          <w:rFonts w:ascii="Arial" w:cs="Arial" w:eastAsia="Arial" w:hAnsi="Arial"/>
          <w:b/>
          <w:bCs/>
          <w:color w:val="1A3A5C"/>
          <w:sz w:val="26"/>
          <w:szCs w:val="26"/>
        </w:rPr>
        <w:t xml:space="preserve">6.2 External Service Dependencies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6"/>
              <w:left w:val="single" w:color="CCCCCC" w:sz="6"/>
              <w:bottom w:val="single" w:color="CCCCCC" w:sz="6"/>
              <w:right w:val="single" w:color="CCCCCC" w:sz="6"/>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Service</w:t>
            </w:r>
          </w:p>
        </w:tc>
        <w:tc>
          <w:tcPr>
            <w:tcW w:type="dxa" w:w="6360"/>
            <w:tcBorders>
              <w:top w:val="single" w:color="CCCCCC" w:sz="6"/>
              <w:left w:val="single" w:color="CCCCCC" w:sz="6"/>
              <w:bottom w:val="single" w:color="CCCCCC" w:sz="6"/>
              <w:right w:val="single" w:color="CCCCCC" w:sz="6"/>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Detail</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Google Apps Script</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Backend runtime. Part of Google Workspace — no additional cost. Governed by Google Workspace SLA (99.9% uptime for most tiers).</w:t>
            </w:r>
          </w:p>
        </w:tc>
      </w:tr>
      <w:tr>
        <w:trPr>
          <w:tblHeader w:val="false"/>
        </w:trPr>
        <w:tc>
          <w:tcPr>
            <w:tcW w:type="dxa" w:w="30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Google Sheets</w:t>
            </w:r>
          </w:p>
        </w:tc>
        <w:tc>
          <w:tcPr>
            <w:tcW w:type="dxa" w:w="63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Data store. Part of Google Workspace. Subject to quota limits: 50,000 read/write cells per day on free tier; higher on paid tiers. With typical deployment volumes this limit is not approached.</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Google Drive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Photo and signature storage. Part of Google Workspace. Storage counted against the organisation’s Drive quota.</w:t>
            </w:r>
          </w:p>
        </w:tc>
      </w:tr>
      <w:tr>
        <w:trPr>
          <w:tblHeader w:val="false"/>
        </w:trPr>
        <w:tc>
          <w:tcPr>
            <w:tcW w:type="dxa" w:w="30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Textbelt</w:t>
            </w:r>
          </w:p>
        </w:tc>
        <w:tc>
          <w:tcPr>
            <w:tcW w:type="dxa" w:w="63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SMS notification delivery. Third-party commercial service (textbelt.com). Pay-per-message pricing (approximately USD 0.01 per message). The backend fails gracefully if the key is absent or the service is unavailable — email notifications still fire. Textbelt is US-headquartered; SMS content transits their infrastructure.</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Google Gemini API</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AI report processing. Optional. API key stored in GAS script properties. Data sent is limited to form report content (no worker PII). Disabled if no API key is configured.</w:t>
            </w:r>
          </w:p>
        </w:tc>
      </w:tr>
      <w:tr>
        <w:trPr>
          <w:tblHeader w:val="false"/>
        </w:trPr>
        <w:tc>
          <w:tcPr>
            <w:tcW w:type="dxa" w:w="30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OpenRouteService</w:t>
            </w:r>
          </w:p>
        </w:tc>
        <w:tc>
          <w:tcPr>
            <w:tcW w:type="dxa" w:w="63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Road distance calculation for mileage tracking. Optional. Falls back to haversine straight-line distance if unavailable.</w:t>
            </w:r>
          </w:p>
        </w:tc>
      </w:tr>
    </w:tbl>
    <w:p>
      <w:pPr>
        <w:spacing w:before="120" w:after="0"/>
      </w:pPr>
      <w:r>
        <w:t xml:space="preserve"/>
      </w:r>
    </w:p>
    <w:p>
      <w:pPr>
        <w:pStyle w:val="Heading2"/>
        <w:spacing w:before="240" w:after="80"/>
      </w:pPr>
      <w:r>
        <w:rPr>
          <w:rFonts w:ascii="Arial" w:cs="Arial" w:eastAsia="Arial" w:hAnsi="Arial"/>
          <w:b/>
          <w:bCs/>
          <w:color w:val="1A3A5C"/>
          <w:sz w:val="26"/>
          <w:szCs w:val="26"/>
        </w:rPr>
        <w:t xml:space="preserve">6.3 Google Apps Script Quotas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6"/>
              <w:left w:val="single" w:color="CCCCCC" w:sz="6"/>
              <w:bottom w:val="single" w:color="CCCCCC" w:sz="6"/>
              <w:right w:val="single" w:color="CCCCCC" w:sz="6"/>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Quota</w:t>
            </w:r>
          </w:p>
        </w:tc>
        <w:tc>
          <w:tcPr>
            <w:tcW w:type="dxa" w:w="6360"/>
            <w:tcBorders>
              <w:top w:val="single" w:color="CCCCCC" w:sz="6"/>
              <w:left w:val="single" w:color="CCCCCC" w:sz="6"/>
              <w:bottom w:val="single" w:color="CCCCCC" w:sz="6"/>
              <w:right w:val="single" w:color="CCCCCC" w:sz="6"/>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Limit</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URL fetch calls / day</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20,000 (Workspace and free). Each SMS and Gemini call is one URL fetch. Normal operation is well within limits.</w:t>
            </w:r>
          </w:p>
        </w:tc>
      </w:tr>
      <w:tr>
        <w:trPr>
          <w:tblHeader w:val="false"/>
        </w:trPr>
        <w:tc>
          <w:tcPr>
            <w:tcW w:type="dxa" w:w="30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Email messages / day</w:t>
            </w:r>
          </w:p>
        </w:tc>
        <w:tc>
          <w:tcPr>
            <w:tcW w:type="dxa" w:w="63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1,500 (Workspace) / 100 (free). Alert and All Clear notifications count toward this limit. Organisations sending high alert volumes should use a Workspace account.</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Script runtime / call</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6 minutes maximum. No single operation in this system approaches this limit.</w:t>
            </w:r>
          </w:p>
        </w:tc>
      </w:tr>
      <w:tr>
        <w:trPr>
          <w:tblHeader w:val="false"/>
        </w:trPr>
        <w:tc>
          <w:tcPr>
            <w:tcW w:type="dxa" w:w="30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Simultaneous executions</w:t>
            </w:r>
          </w:p>
        </w:tc>
        <w:tc>
          <w:tcPr>
            <w:tcW w:type="dxa" w:w="63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30. Relevant for very large deployments with many simultaneous alarm events.</w:t>
            </w:r>
          </w:p>
        </w:tc>
      </w:tr>
    </w:tbl>
    <w:p>
      <w:pPr>
        <w:spacing w:before="120" w:after="0"/>
      </w:pPr>
      <w:r>
        <w:t xml:space="preserve"/>
      </w:r>
    </w:p>
    <w:p>
      <w:pPr>
        <w:pStyle w:val="Heading1"/>
        <w:pBdr>
          <w:bottom w:val="single" w:color="1A3A5C" w:sz="8" w:space="4"/>
        </w:pBdr>
        <w:spacing w:before="320" w:after="120"/>
      </w:pPr>
      <w:r>
        <w:rPr>
          <w:rFonts w:ascii="Arial" w:cs="Arial" w:eastAsia="Arial" w:hAnsi="Arial"/>
          <w:b/>
          <w:bCs/>
          <w:color w:val="1A3A5C"/>
          <w:sz w:val="32"/>
          <w:szCs w:val="32"/>
        </w:rPr>
        <w:t xml:space="preserve">7. Data Residency and Privacy Considerations</w:t>
      </w:r>
    </w:p>
    <w:p>
      <w:pPr>
        <w:spacing w:before="60" w:after="120"/>
      </w:pPr>
      <w:r>
        <w:rPr>
          <w:rFonts w:ascii="Arial" w:cs="Arial" w:eastAsia="Arial" w:hAnsi="Arial"/>
          <w:sz w:val="22"/>
          <w:szCs w:val="22"/>
        </w:rPr>
        <w:t xml:space="preserve">All primary data — visit records, worker profiles, form submissions, photos — resides in the organisation’s Google Workspace account. The following data leaves the organisation’s Google environment:</w:t>
      </w:r>
    </w:p>
    <w:p>
      <w:pPr>
        <w:pStyle w:val="ListParagraph"/>
        <w:numPr>
          <w:ilvl w:val="0"/>
          <w:numId w:val="2"/>
        </w:numPr>
        <w:spacing w:before="40" w:after="60"/>
      </w:pPr>
      <w:r>
        <w:rPr>
          <w:rFonts w:ascii="Arial" w:cs="Arial" w:eastAsia="Arial" w:hAnsi="Arial"/>
          <w:b/>
          <w:bCs/>
          <w:sz w:val="22"/>
          <w:szCs w:val="22"/>
        </w:rPr>
        <w:t xml:space="preserve">SMS notifications: </w:t>
      </w:r>
      <w:r>
        <w:rPr>
          <w:rFonts w:ascii="Arial" w:cs="Arial" w:eastAsia="Arial" w:hAnsi="Arial"/>
          <w:sz w:val="22"/>
          <w:szCs w:val="22"/>
        </w:rPr>
        <w:t xml:space="preserve">Worker name, location name, GPS coordinates, and a timestamped alarm description are sent to Textbelt. Textbelt’s privacy policy applies to this data in transit.</w:t>
      </w:r>
    </w:p>
    <w:p>
      <w:pPr>
        <w:pStyle w:val="ListParagraph"/>
        <w:numPr>
          <w:ilvl w:val="0"/>
          <w:numId w:val="2"/>
        </w:numPr>
        <w:spacing w:before="40" w:after="60"/>
      </w:pPr>
      <w:r>
        <w:rPr>
          <w:rFonts w:ascii="Arial" w:cs="Arial" w:eastAsia="Arial" w:hAnsi="Arial"/>
          <w:b/>
          <w:bCs/>
          <w:sz w:val="22"/>
          <w:szCs w:val="22"/>
        </w:rPr>
        <w:t xml:space="preserve">AI report processing: </w:t>
      </w:r>
      <w:r>
        <w:rPr>
          <w:rFonts w:ascii="Arial" w:cs="Arial" w:eastAsia="Arial" w:hAnsi="Arial"/>
          <w:sz w:val="22"/>
          <w:szCs w:val="22"/>
        </w:rPr>
        <w:t xml:space="preserve">Form field data and worker notes are sent to Google’s Gemini API. This is processed under Google’s AI API terms of service, not the organisation’s Workspace agreement. This feature can be disabled by leaving the Gemini API key field blank during setup.</w:t>
      </w:r>
    </w:p>
    <w:p>
      <w:pPr>
        <w:pStyle w:val="ListParagraph"/>
        <w:numPr>
          <w:ilvl w:val="0"/>
          <w:numId w:val="2"/>
        </w:numPr>
        <w:spacing w:before="40" w:after="60"/>
      </w:pPr>
      <w:r>
        <w:rPr>
          <w:rFonts w:ascii="Arial" w:cs="Arial" w:eastAsia="Arial" w:hAnsi="Arial"/>
          <w:b/>
          <w:bCs/>
          <w:sz w:val="22"/>
          <w:szCs w:val="22"/>
        </w:rPr>
        <w:t xml:space="preserve">Road distance calculations: </w:t>
      </w:r>
      <w:r>
        <w:rPr>
          <w:rFonts w:ascii="Arial" w:cs="Arial" w:eastAsia="Arial" w:hAnsi="Arial"/>
          <w:sz w:val="22"/>
          <w:szCs w:val="22"/>
        </w:rPr>
        <w:t xml:space="preserve">GPS coordinates (start and end of journey) are sent to the OpenRouteService API if the road distance feature is enabled. The app falls back to straight-line calculation if this key is absent.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8"/>
              <w:left w:val="single" w:color="93C5FD" w:sz="8"/>
              <w:bottom w:val="single" w:color="93C5FD" w:sz="8"/>
              <w:right w:val="single" w:color="93C5FD" w:sz="8"/>
            </w:tcBorders>
            <w:shd w:fill="EFF6FF" w:val="clear"/>
            <w:tcMar>
              <w:top w:type="dxa" w:w="120"/>
              <w:left w:type="dxa" w:w="240"/>
              <w:bottom w:type="dxa" w:w="120"/>
              <w:right w:type="dxa" w:w="240"/>
            </w:tcMar>
          </w:tcPr>
          <w:p>
            <w:pPr>
              <w:spacing w:before="40" w:after="40"/>
            </w:pPr>
            <w:r>
              <w:rPr>
                <w:rFonts w:ascii="Arial" w:cs="Arial" w:eastAsia="Arial" w:hAnsi="Arial"/>
                <w:sz w:val="22"/>
                <w:szCs w:val="22"/>
              </w:rPr>
              <w:t xml:space="preserve">Organisations operating under GDPR, NZ Privacy Act 2020, or similar frameworks should review the above data flows as part of their Privacy Impact Assessment. The AI and SMS features are independently disableable at configuration time.</w:t>
            </w:r>
          </w:p>
        </w:tc>
      </w:tr>
    </w:tbl>
    <w:p>
      <w:pPr>
        <w:spacing w:before="80" w:after="0"/>
      </w:pPr>
      <w:r>
        <w:t xml:space="preserve"/>
      </w:r>
    </w:p>
    <w:p>
      <w:pPr>
        <w:spacing w:before="60" w:after="120"/>
      </w:pPr>
      <w:r>
        <w:rPr>
          <w:rFonts w:ascii="Arial" w:cs="Arial" w:eastAsia="Arial" w:hAnsi="Arial"/>
          <w:sz w:val="22"/>
          <w:szCs w:val="22"/>
        </w:rPr>
        <w:t xml:space="preserve">Worker phone numbers, emergency contact details, and GPS coordinates are stored in plain text in the Google Sheet. Access to the Sheet should be restricted to designated administrators. The Master Key (used by the Monitor App) provides read access to all active worker status data and should be treated accordingly.</w:t>
      </w:r>
    </w:p>
    <w:p>
      <w:pPr>
        <w:spacing w:before="120" w:after="0"/>
      </w:pPr>
      <w:r>
        <w:t xml:space="preserve"/>
      </w:r>
    </w:p>
    <w:p>
      <w:pPr>
        <w:pStyle w:val="Heading1"/>
        <w:pBdr>
          <w:bottom w:val="single" w:color="1A3A5C" w:sz="8" w:space="4"/>
        </w:pBdr>
        <w:spacing w:before="320" w:after="120"/>
      </w:pPr>
      <w:r>
        <w:rPr>
          <w:rFonts w:ascii="Arial" w:cs="Arial" w:eastAsia="Arial" w:hAnsi="Arial"/>
          <w:b/>
          <w:bCs/>
          <w:color w:val="1A3A5C"/>
          <w:sz w:val="32"/>
          <w:szCs w:val="32"/>
        </w:rPr>
        <w:t xml:space="preserve">8. Stability, Reliability, and Known Limitations</w:t>
      </w:r>
    </w:p>
    <w:p>
      <w:pPr>
        <w:pStyle w:val="Heading2"/>
        <w:spacing w:before="240" w:after="80"/>
      </w:pPr>
      <w:r>
        <w:rPr>
          <w:rFonts w:ascii="Arial" w:cs="Arial" w:eastAsia="Arial" w:hAnsi="Arial"/>
          <w:b/>
          <w:bCs/>
          <w:color w:val="1A3A5C"/>
          <w:sz w:val="26"/>
          <w:szCs w:val="26"/>
        </w:rPr>
        <w:t xml:space="preserve">8.1 Platform Stability</w:t>
      </w:r>
    </w:p>
    <w:p>
      <w:pPr>
        <w:spacing w:before="60" w:after="120"/>
      </w:pPr>
      <w:r>
        <w:rPr>
          <w:rFonts w:ascii="Arial" w:cs="Arial" w:eastAsia="Arial" w:hAnsi="Arial"/>
          <w:sz w:val="22"/>
          <w:szCs w:val="22"/>
        </w:rPr>
        <w:t xml:space="preserve">The Worker App is built on standard web platform APIs (Service Workers, Geolocation, Web Speech, Screen Wake Lock, Device Motion) that are part of the W3C and WHATWG specifications. The main risk factor is that Apple and Google periodically tighten restrictions on background app behaviour — apps running in the background may be suspended to preserve battery life. The app mitigates this through the Screen Wake Lock API and Battery Saver mode, which are discussed in the manager-facing document.</w:t>
      </w:r>
    </w:p>
    <w:p>
      <w:pPr>
        <w:pStyle w:val="Heading2"/>
        <w:spacing w:before="240" w:after="80"/>
      </w:pPr>
      <w:r>
        <w:rPr>
          <w:rFonts w:ascii="Arial" w:cs="Arial" w:eastAsia="Arial" w:hAnsi="Arial"/>
          <w:b/>
          <w:bCs/>
          <w:color w:val="1A3A5C"/>
          <w:sz w:val="26"/>
          <w:szCs w:val="26"/>
        </w:rPr>
        <w:t xml:space="preserve">8.2 Known Technical Limitations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6"/>
              <w:left w:val="single" w:color="CCCCCC" w:sz="6"/>
              <w:bottom w:val="single" w:color="CCCCCC" w:sz="6"/>
              <w:right w:val="single" w:color="CCCCCC" w:sz="6"/>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Limitation</w:t>
            </w:r>
          </w:p>
        </w:tc>
        <w:tc>
          <w:tcPr>
            <w:tcW w:type="dxa" w:w="6360"/>
            <w:tcBorders>
              <w:top w:val="single" w:color="CCCCCC" w:sz="6"/>
              <w:left w:val="single" w:color="CCCCCC" w:sz="6"/>
              <w:bottom w:val="single" w:color="CCCCCC" w:sz="6"/>
              <w:right w:val="single" w:color="CCCCCC" w:sz="6"/>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Detail</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No real-time offline alerts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If the worker’s device has no data connection, alarm notifications cannot be delivered until connectivity is restored. This is inherent to a web app architecture. Organisations requiring guaranteed real-time alerting in zero-coverage environments should supplement with satellite devices.</w:t>
            </w:r>
          </w:p>
        </w:tc>
      </w:tr>
      <w:tr>
        <w:trPr>
          <w:tblHeader w:val="false"/>
        </w:trPr>
        <w:tc>
          <w:tcPr>
            <w:tcW w:type="dxa" w:w="30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No link to emergency services</w:t>
            </w:r>
          </w:p>
        </w:tc>
        <w:tc>
          <w:tcPr>
            <w:tcW w:type="dxa" w:w="63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The system notifies nominated contacts only. There is no automatic escalation to police, ambulance, or any monitoring centre. Contacts must decide whether to call emergency services.</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Monitor requires active supervision</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The Monitor’s audio alarm and full-screen overlay only activate if someone has the browser tab open. There is no background or push notification on the supervisor side if the tab is closed.</w:t>
            </w:r>
          </w:p>
        </w:tc>
      </w:tr>
      <w:tr>
        <w:trPr>
          <w:tblHeader w:val="false"/>
        </w:trPr>
        <w:tc>
          <w:tcPr>
            <w:tcW w:type="dxa" w:w="30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Device ID stability</w:t>
            </w:r>
          </w:p>
        </w:tc>
        <w:tc>
          <w:tcPr>
            <w:tcW w:type="dxa" w:w="63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The browser-derived device ID may change on full browser data clear, OS reinstall, or browser switch. This requires an admin to clear and re-register the device.</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Background suspension (iOS)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iOS may suspend the browser tab if the worker switches to another app. The Screen Wake Lock and Battery Saver mode reduce this risk but do not eliminate it.</w:t>
            </w:r>
          </w:p>
        </w:tc>
      </w:tr>
      <w:tr>
        <w:trPr>
          <w:tblHeader w:val="false"/>
        </w:trPr>
        <w:tc>
          <w:tcPr>
            <w:tcW w:type="dxa" w:w="30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GPS accuracy</w:t>
            </w:r>
          </w:p>
        </w:tc>
        <w:tc>
          <w:tcPr>
            <w:tcW w:type="dxa" w:w="63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GPS accuracy is device-dependent and degrades indoors. Continuous GPS tracking during overdue or travel periods depends on the device’s location accuracy.</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Spreadsheet row limits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Google Sheets has a limit of 10 million cells per spreadsheet. At 30 columns per visit row, this allows approximately 330,000 visit records before archiving is needed. The automatic archiving function moves records older than 30 days to an Archive sheet.</w:t>
            </w:r>
          </w:p>
        </w:tc>
      </w:tr>
      <w:tr>
        <w:trPr>
          <w:tblHeader w:val="false"/>
        </w:trPr>
        <w:tc>
          <w:tcPr>
            <w:tcW w:type="dxa" w:w="30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No role-based Monitor access</w:t>
            </w:r>
          </w:p>
        </w:tc>
        <w:tc>
          <w:tcPr>
            <w:tcW w:type="dxa" w:w="63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The Monitor App uses a single Master Key. All Monitor users see all active workers. There is no per-team or per-supervisor filtering in the current implementation.</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GAS cold starts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Apps Script can take 1–3 seconds to respond after a period of inactivity. This does not affect the worker experience materially but can cause the first sync after a long idle period to be slightly slower.</w:t>
            </w:r>
          </w:p>
        </w:tc>
      </w:tr>
    </w:tbl>
    <w:p>
      <w:pPr>
        <w:spacing w:before="120" w:after="0"/>
      </w:pPr>
      <w:r>
        <w:t xml:space="preserve"/>
      </w:r>
    </w:p>
    <w:p>
      <w:pPr>
        <w:pStyle w:val="Heading2"/>
        <w:spacing w:before="240" w:after="80"/>
      </w:pPr>
      <w:r>
        <w:rPr>
          <w:rFonts w:ascii="Arial" w:cs="Arial" w:eastAsia="Arial" w:hAnsi="Arial"/>
          <w:b/>
          <w:bCs/>
          <w:color w:val="1A3A5C"/>
          <w:sz w:val="26"/>
          <w:szCs w:val="26"/>
        </w:rPr>
        <w:t xml:space="preserve">8.3 Failure Modes</w:t>
      </w:r>
    </w:p>
    <w:p>
      <w:pPr>
        <w:spacing w:before="60" w:after="120"/>
      </w:pPr>
      <w:r>
        <w:rPr>
          <w:rFonts w:ascii="Arial" w:cs="Arial" w:eastAsia="Arial" w:hAnsi="Arial"/>
          <w:sz w:val="22"/>
          <w:szCs w:val="22"/>
        </w:rPr>
        <w:t xml:space="preserve">The system is designed to fail safely. The following table summarises significant failure modes and their impact: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6"/>
              <w:left w:val="single" w:color="CCCCCC" w:sz="6"/>
              <w:bottom w:val="single" w:color="CCCCCC" w:sz="6"/>
              <w:right w:val="single" w:color="CCCCCC" w:sz="6"/>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Failure</w:t>
            </w:r>
          </w:p>
        </w:tc>
        <w:tc>
          <w:tcPr>
            <w:tcW w:type="dxa" w:w="6360"/>
            <w:tcBorders>
              <w:top w:val="single" w:color="CCCCCC" w:sz="6"/>
              <w:left w:val="single" w:color="CCCCCC" w:sz="6"/>
              <w:bottom w:val="single" w:color="CCCCCC" w:sz="6"/>
              <w:right w:val="single" w:color="CCCCCC" w:sz="6"/>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Impact</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Backend unreachable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Worker App functions normally. Uploads queue locally and are retried automatically. The countdown timer, GPS tracking, and all local alerts continue unaffected.</w:t>
            </w:r>
          </w:p>
        </w:tc>
      </w:tr>
      <w:tr>
        <w:trPr>
          <w:tblHeader w:val="false"/>
        </w:trPr>
        <w:tc>
          <w:tcPr>
            <w:tcW w:type="dxa" w:w="30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SMS delivery failure</w:t>
            </w:r>
          </w:p>
        </w:tc>
        <w:tc>
          <w:tcPr>
            <w:tcW w:type="dxa" w:w="63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Email notification still fires. The backend catches SMS send errors and logs them without crashing. No retry mechanism for SMS — this is a single-shot attempt per event.</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AI processing failure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The report is saved with the raw (unpolished) notes. The backend returns the original text if Gemini fails or returns an empty response.</w:t>
            </w:r>
          </w:p>
        </w:tc>
      </w:tr>
      <w:tr>
        <w:trPr>
          <w:tblHeader w:val="false"/>
        </w:trPr>
        <w:tc>
          <w:tcPr>
            <w:tcW w:type="dxa" w:w="300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b/>
                <w:bCs/>
                <w:color w:val="1F2937"/>
                <w:sz w:val="22"/>
                <w:szCs w:val="22"/>
              </w:rPr>
              <w:t xml:space="preserve">Service worker not supported</w:t>
            </w:r>
          </w:p>
        </w:tc>
        <w:tc>
          <w:tcPr>
            <w:tcW w:type="dxa" w:w="6360"/>
            <w:tcBorders>
              <w:top w:val="single" w:color="CCCCCC" w:sz="6"/>
              <w:left w:val="single" w:color="CCCCCC" w:sz="6"/>
              <w:bottom w:val="single" w:color="CCCCCC" w:sz="6"/>
              <w:right w:val="single" w:color="CCCCCC" w:sz="6"/>
            </w:tcBorders>
            <w:shd w:fill="EFF4FA" w:val="clear"/>
            <w:tcMar>
              <w:top w:type="dxa" w:w="80"/>
              <w:left w:type="dxa" w:w="160"/>
              <w:bottom w:type="dxa" w:w="80"/>
              <w:right w:type="dxa" w:w="160"/>
            </w:tcMar>
          </w:tcPr>
          <w:p>
            <w:r>
              <w:rPr>
                <w:rFonts w:ascii="Arial" w:cs="Arial" w:eastAsia="Arial" w:hAnsi="Arial"/>
                <w:color w:val="1F2937"/>
                <w:sz w:val="22"/>
                <w:szCs w:val="22"/>
              </w:rPr>
              <w:t xml:space="preserve">The app loads and functions, but will not work offline and will not auto-update. Requires connectivity for each session.</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b/>
                <w:bCs/>
                <w:color w:val="1F2937"/>
                <w:sz w:val="22"/>
                <w:szCs w:val="22"/>
              </w:rPr>
              <w:t xml:space="preserve">Screen Wake Lock unavailable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color w:val="1F2937"/>
                <w:sz w:val="22"/>
                <w:szCs w:val="22"/>
              </w:rPr>
              <w:t xml:space="preserve">The app operates normally but the device screen may turn off. Workers should use Battery Saver mode as a fallback.</w:t>
            </w:r>
          </w:p>
        </w:tc>
      </w:tr>
    </w:tbl>
    <w:p>
      <w:pPr>
        <w:spacing w:before="120" w:after="0"/>
      </w:pPr>
      <w:r>
        <w:t xml:space="preserve"/>
      </w:r>
    </w:p>
    <w:p>
      <w:pPr>
        <w:pStyle w:val="Heading1"/>
        <w:pBdr>
          <w:bottom w:val="single" w:color="1A3A5C" w:sz="8" w:space="4"/>
        </w:pBdr>
        <w:spacing w:before="320" w:after="120"/>
      </w:pPr>
      <w:r>
        <w:rPr>
          <w:rFonts w:ascii="Arial" w:cs="Arial" w:eastAsia="Arial" w:hAnsi="Arial"/>
          <w:b/>
          <w:bCs/>
          <w:color w:val="1A3A5C"/>
          <w:sz w:val="32"/>
          <w:szCs w:val="32"/>
        </w:rPr>
        <w:t xml:space="preserve">9. Update and Version Management</w:t>
      </w:r>
    </w:p>
    <w:p>
      <w:pPr>
        <w:spacing w:before="60" w:after="120"/>
      </w:pPr>
      <w:r>
        <w:rPr>
          <w:rFonts w:ascii="Arial" w:cs="Arial" w:eastAsia="Arial" w:hAnsi="Arial"/>
          <w:sz w:val="22"/>
          <w:szCs w:val="22"/>
        </w:rPr>
        <w:t xml:space="preserve">The system uses a build-timestamp-based versioning scheme. Each time the administrator generates new Worker App bundles from the App Factory, a unique build timestamp is embedded in the service worker cache name, the displayed App Version in worker settings, and the Backend Version string returned by the backend’s ping endpoint.</w:t>
      </w:r>
    </w:p>
    <w:p>
      <w:pPr>
        <w:spacing w:before="60" w:after="120"/>
      </w:pPr>
      <w:r>
        <w:rPr>
          <w:rFonts w:ascii="Arial" w:cs="Arial" w:eastAsia="Arial" w:hAnsi="Arial"/>
          <w:sz w:val="22"/>
          <w:szCs w:val="22"/>
        </w:rPr>
        <w:t xml:space="preserve">When a worker with an older cached version opens the app while online, the browser fetches the new HTML file, the new service worker activates, deletes the old cache, and the updated version is served on next load. Workers do not interact with this process.</w:t>
      </w:r>
    </w:p>
    <w:p>
      <w:pPr>
        <w:spacing w:before="60" w:after="120"/>
      </w:pPr>
      <w:r>
        <w:rPr>
          <w:rFonts w:ascii="Arial" w:cs="Arial" w:eastAsia="Arial" w:hAnsi="Arial"/>
          <w:sz w:val="22"/>
          <w:szCs w:val="22"/>
        </w:rPr>
        <w:t xml:space="preserve">The backend (Google Apps Script) is updated by the administrator editing and redeploying the GAS project — a separate step from generating new Worker App bundles. The Settings panel in each Worker App shows both the app build date and the backend build date, making it easy to confirm that worker and backend are in sync.</w:t>
      </w:r>
    </w:p>
    <w:p>
      <w:pPr>
        <w:spacing w:before="120" w:after="0"/>
      </w:pPr>
      <w:r>
        <w:t xml:space="preserve"/>
      </w:r>
    </w:p>
    <w:p>
      <w:pPr>
        <w:pStyle w:val="Heading1"/>
        <w:pBdr>
          <w:bottom w:val="single" w:color="1A3A5C" w:sz="8" w:space="4"/>
        </w:pBdr>
        <w:spacing w:before="320" w:after="120"/>
      </w:pPr>
      <w:r>
        <w:rPr>
          <w:rFonts w:ascii="Arial" w:cs="Arial" w:eastAsia="Arial" w:hAnsi="Arial"/>
          <w:b/>
          <w:bCs/>
          <w:color w:val="1A3A5C"/>
          <w:sz w:val="32"/>
          <w:szCs w:val="32"/>
        </w:rPr>
        <w:t xml:space="preserve">10. Suitability Assessment</w:t>
      </w:r>
    </w:p>
    <w:p>
      <w:pPr>
        <w:spacing w:before="60" w:after="120"/>
      </w:pPr>
      <w:r>
        <w:rPr>
          <w:rFonts w:ascii="Arial" w:cs="Arial" w:eastAsia="Arial" w:hAnsi="Arial"/>
          <w:sz w:val="22"/>
          <w:szCs w:val="22"/>
        </w:rPr>
        <w:t xml:space="preserve">The OTG AppSuite is a pragmatically engineered system that trades some enterprise-grade security controls (hardware device binding, server-side session management, dedicated hosting) for very low deployment cost and zero ongoing infrastructure overhead. For the target audience — small to medium organisations deploying field workers where Google Workspace is already in use — the security and reliability model is appropriate for many situations.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12"/>
              <w:bottom w:val="single" w:color="F59E0B" w:sz="12"/>
              <w:right w:val="single" w:color="F59E0B" w:sz="12"/>
            </w:tcBorders>
            <w:shd w:fill="FEF3C7" w:val="clear"/>
            <w:tcMar>
              <w:top w:type="dxa" w:w="160"/>
              <w:left w:type="dxa" w:w="240"/>
              <w:bottom w:type="dxa" w:w="160"/>
              <w:right w:type="dxa" w:w="240"/>
            </w:tcMar>
          </w:tcPr>
          <w:p>
            <w:pPr>
              <w:spacing w:before="40" w:after="80"/>
            </w:pPr>
            <w:r>
              <w:rPr>
                <w:rFonts w:ascii="Arial" w:cs="Arial" w:eastAsia="Arial" w:hAnsi="Arial"/>
                <w:b/>
                <w:bCs/>
                <w:color w:val="B45309"/>
                <w:sz w:val="22"/>
                <w:szCs w:val="22"/>
              </w:rPr>
              <w:t xml:space="preserve">⚠️  Conduct a Risk Assessment Before Deployment</w:t>
            </w:r>
          </w:p>
          <w:p>
            <w:pPr>
              <w:spacing w:before="60" w:after="80"/>
            </w:pPr>
            <w:r>
              <w:rPr>
                <w:rFonts w:ascii="Arial" w:cs="Arial" w:eastAsia="Arial" w:hAnsi="Arial"/>
                <w:color w:val="1F2937"/>
                <w:sz w:val="22"/>
                <w:szCs w:val="22"/>
              </w:rPr>
              <w:t xml:space="preserve">This system notifies nominated contacts. It does not contact emergency services and does not connect to a 24/7 monitoring service. The suitability of this model depends on the specific risk profile of the work and the environment. Organisations should assess the following before deploying:</w:t>
            </w:r>
          </w:p>
          <w:p>
            <w:pPr>
              <w:pStyle w:val="ListParagraph"/>
              <w:numPr>
                <w:ilvl w:val="0"/>
                <w:numId w:val="2"/>
              </w:numPr>
              <w:spacing w:before="40" w:after="60"/>
            </w:pPr>
            <w:r>
              <w:rPr>
                <w:rFonts w:ascii="Arial" w:cs="Arial" w:eastAsia="Arial" w:hAnsi="Arial"/>
                <w:color w:val="1F2937"/>
                <w:sz w:val="22"/>
                <w:szCs w:val="22"/>
              </w:rPr>
              <w:t xml:space="preserve">Can nominated contacts realistically receive and act on alerts during all hours workers are in the field? What is the response time, and is it acceptable given the hazards workers face?</w:t>
            </w:r>
          </w:p>
          <w:p>
            <w:pPr>
              <w:pStyle w:val="ListParagraph"/>
              <w:numPr>
                <w:ilvl w:val="0"/>
                <w:numId w:val="2"/>
              </w:numPr>
              <w:spacing w:before="40" w:after="60"/>
            </w:pPr>
            <w:r>
              <w:rPr>
                <w:rFonts w:ascii="Arial" w:cs="Arial" w:eastAsia="Arial" w:hAnsi="Arial"/>
                <w:color w:val="1F2937"/>
                <w:sz w:val="22"/>
                <w:szCs w:val="22"/>
              </w:rPr>
              <w:t xml:space="preserve">What is the mobile data coverage in the areas where workers operate? Are zero-coverage scenarios a realistic possibility, and if so, what backup mechanism is in place?</w:t>
            </w:r>
          </w:p>
          <w:p>
            <w:pPr>
              <w:pStyle w:val="ListParagraph"/>
              <w:numPr>
                <w:ilvl w:val="0"/>
                <w:numId w:val="2"/>
              </w:numPr>
              <w:spacing w:before="40" w:after="60"/>
            </w:pPr>
            <w:r>
              <w:rPr>
                <w:rFonts w:ascii="Arial" w:cs="Arial" w:eastAsia="Arial" w:hAnsi="Arial"/>
                <w:color w:val="1F2937"/>
                <w:sz w:val="22"/>
                <w:szCs w:val="22"/>
              </w:rPr>
              <w:t xml:space="preserve">Is the organisation satisfied that a notification-to-contacts model — rather than a direct line to emergency services or a contracted monitoring centre — is appropriate for the risks faced?</w:t>
            </w:r>
          </w:p>
          <w:p>
            <w:pPr>
              <w:pStyle w:val="ListParagraph"/>
              <w:numPr>
                <w:ilvl w:val="0"/>
                <w:numId w:val="2"/>
              </w:numPr>
              <w:spacing w:before="40" w:after="60"/>
            </w:pPr>
            <w:r>
              <w:rPr>
                <w:rFonts w:ascii="Arial" w:cs="Arial" w:eastAsia="Arial" w:hAnsi="Arial"/>
                <w:color w:val="1F2937"/>
                <w:sz w:val="22"/>
                <w:szCs w:val="22"/>
              </w:rPr>
              <w:t xml:space="preserve">Has someone been designated to actively monitor the Monitor App dashboard during operating hours? What happens outside those hours?</w:t>
            </w:r>
          </w:p>
          <w:p>
            <w:pPr>
              <w:spacing w:before="80" w:after="40"/>
            </w:pPr>
            <w:r>
              <w:rPr>
                <w:rFonts w:ascii="Arial" w:cs="Arial" w:eastAsia="Arial" w:hAnsi="Arial"/>
                <w:color w:val="1F2937"/>
                <w:sz w:val="22"/>
                <w:szCs w:val="22"/>
              </w:rPr>
              <w:t xml:space="preserve">For workers facing serious physical risk, operating in remote or low-coverage areas, or where a guaranteed response time is required, this system may need to be supplemented with additional controls such as satellite communication devices or a contracted 24/7 lone worker monitoring service.</w:t>
            </w:r>
          </w:p>
        </w:tc>
      </w:tr>
    </w:tbl>
    <w:p>
      <w:pPr>
        <w:spacing w:before="120" w:after="0"/>
      </w:pPr>
      <w:r>
        <w:t xml:space="preserve"/>
      </w:r>
    </w:p>
    <w:p>
      <w:pPr>
        <w:pStyle w:val="Heading2"/>
        <w:spacing w:before="240" w:after="80"/>
      </w:pPr>
      <w:r>
        <w:rPr>
          <w:rFonts w:ascii="Arial" w:cs="Arial" w:eastAsia="Arial" w:hAnsi="Arial"/>
          <w:b/>
          <w:bCs/>
          <w:color w:val="1A3A5C"/>
          <w:sz w:val="26"/>
          <w:szCs w:val="26"/>
        </w:rPr>
        <w:t xml:space="preserve">10.1 Key Evaluation Areas</w:t>
      </w:r>
    </w:p>
    <w:p>
      <w:pPr>
        <w:spacing w:before="60" w:after="120"/>
      </w:pPr>
      <w:r>
        <w:rPr>
          <w:rFonts w:ascii="Arial" w:cs="Arial" w:eastAsia="Arial" w:hAnsi="Arial"/>
          <w:sz w:val="22"/>
          <w:szCs w:val="22"/>
        </w:rPr>
        <w:t xml:space="preserve">The main areas to assess against organisational requirements are:</w:t>
      </w:r>
    </w:p>
    <w:p>
      <w:pPr>
        <w:pStyle w:val="ListParagraph"/>
        <w:numPr>
          <w:ilvl w:val="0"/>
          <w:numId w:val="2"/>
        </w:numPr>
        <w:spacing w:before="40" w:after="60"/>
      </w:pPr>
      <w:r>
        <w:rPr>
          <w:rFonts w:ascii="Arial" w:cs="Arial" w:eastAsia="Arial" w:hAnsi="Arial"/>
          <w:b/>
          <w:bCs/>
          <w:sz w:val="22"/>
          <w:szCs w:val="22"/>
        </w:rPr>
        <w:t xml:space="preserve">Alert chain adequacy: </w:t>
      </w:r>
      <w:r>
        <w:rPr>
          <w:rFonts w:ascii="Arial" w:cs="Arial" w:eastAsia="Arial" w:hAnsi="Arial"/>
          <w:sz w:val="22"/>
          <w:szCs w:val="22"/>
        </w:rPr>
        <w:t xml:space="preserve">Whether the nominated-contact notification model provides a sufficiently reliable and timely response for the hazards workers face.</w:t>
      </w:r>
    </w:p>
    <w:p>
      <w:pPr>
        <w:pStyle w:val="ListParagraph"/>
        <w:numPr>
          <w:ilvl w:val="0"/>
          <w:numId w:val="2"/>
        </w:numPr>
        <w:spacing w:before="40" w:after="60"/>
      </w:pPr>
      <w:r>
        <w:rPr>
          <w:rFonts w:ascii="Arial" w:cs="Arial" w:eastAsia="Arial" w:hAnsi="Arial"/>
          <w:b/>
          <w:bCs/>
          <w:sz w:val="22"/>
          <w:szCs w:val="22"/>
        </w:rPr>
        <w:t xml:space="preserve">Data residency: </w:t>
      </w:r>
      <w:r>
        <w:rPr>
          <w:rFonts w:ascii="Arial" w:cs="Arial" w:eastAsia="Arial" w:hAnsi="Arial"/>
          <w:sz w:val="22"/>
          <w:szCs w:val="22"/>
        </w:rPr>
        <w:t xml:space="preserve">Whether transmitting report content to the Gemini API and GPS data to Textbelt and OpenRouteService is acceptable under the organisation’s privacy obligations. Both features are independently disableable.</w:t>
      </w:r>
    </w:p>
    <w:p>
      <w:pPr>
        <w:pStyle w:val="ListParagraph"/>
        <w:numPr>
          <w:ilvl w:val="0"/>
          <w:numId w:val="2"/>
        </w:numPr>
        <w:spacing w:before="40" w:after="60"/>
      </w:pPr>
      <w:r>
        <w:rPr>
          <w:rFonts w:ascii="Arial" w:cs="Arial" w:eastAsia="Arial" w:hAnsi="Arial"/>
          <w:b/>
          <w:bCs/>
          <w:sz w:val="22"/>
          <w:szCs w:val="22"/>
        </w:rPr>
        <w:t xml:space="preserve">Offline alert risk: </w:t>
      </w:r>
      <w:r>
        <w:rPr>
          <w:rFonts w:ascii="Arial" w:cs="Arial" w:eastAsia="Arial" w:hAnsi="Arial"/>
          <w:sz w:val="22"/>
          <w:szCs w:val="22"/>
        </w:rPr>
        <w:t xml:space="preserve">Whether zero-coverage scenarios are a realistic risk for the organisation’s field environments, and whether a backup alerting mechanism is needed.</w:t>
      </w:r>
    </w:p>
    <w:p>
      <w:pPr>
        <w:pStyle w:val="ListParagraph"/>
        <w:numPr>
          <w:ilvl w:val="0"/>
          <w:numId w:val="2"/>
        </w:numPr>
        <w:spacing w:before="40" w:after="60"/>
      </w:pPr>
      <w:r>
        <w:rPr>
          <w:rFonts w:ascii="Arial" w:cs="Arial" w:eastAsia="Arial" w:hAnsi="Arial"/>
          <w:b/>
          <w:bCs/>
          <w:sz w:val="22"/>
          <w:szCs w:val="22"/>
        </w:rPr>
        <w:t xml:space="preserve">Device management: </w:t>
      </w:r>
      <w:r>
        <w:rPr>
          <w:rFonts w:ascii="Arial" w:cs="Arial" w:eastAsia="Arial" w:hAnsi="Arial"/>
          <w:sz w:val="22"/>
          <w:szCs w:val="22"/>
        </w:rPr>
        <w:t xml:space="preserve">Whether the browser-derived device ID provides sufficient binding strength, or whether a stronger device identity mechanism is required.</w:t>
      </w:r>
    </w:p>
    <w:p>
      <w:pPr>
        <w:pStyle w:val="ListParagraph"/>
        <w:numPr>
          <w:ilvl w:val="0"/>
          <w:numId w:val="2"/>
        </w:numPr>
        <w:spacing w:before="40" w:after="60"/>
      </w:pPr>
      <w:r>
        <w:rPr>
          <w:rFonts w:ascii="Arial" w:cs="Arial" w:eastAsia="Arial" w:hAnsi="Arial"/>
          <w:b/>
          <w:bCs/>
          <w:sz w:val="22"/>
          <w:szCs w:val="22"/>
        </w:rPr>
        <w:t xml:space="preserve">Monitor access control: </w:t>
      </w:r>
      <w:r>
        <w:rPr>
          <w:rFonts w:ascii="Arial" w:cs="Arial" w:eastAsia="Arial" w:hAnsi="Arial"/>
          <w:sz w:val="22"/>
          <w:szCs w:val="22"/>
        </w:rPr>
        <w:t xml:space="preserve">Whether all Monitor App users requiring the same level of access is acceptable, or whether per-team filtering needs to be added.</w:t>
      </w:r>
    </w:p>
    <w:p>
      <w:pPr>
        <w:spacing w:before="80" w:after="0"/>
      </w:pPr>
      <w:r>
        <w:t xml:space="preserve"/>
      </w:r>
    </w:p>
    <w:p>
      <w:pPr>
        <w:spacing w:before="60" w:after="120"/>
      </w:pPr>
      <w:r>
        <w:rPr>
          <w:rFonts w:ascii="Arial" w:cs="Arial" w:eastAsia="Arial" w:hAnsi="Arial"/>
          <w:sz w:val="22"/>
          <w:szCs w:val="22"/>
        </w:rPr>
        <w:t xml:space="preserve">The system is well-suited for organisations that want a capable, maintainable, and cost-effective lone worker safety solution without the complexity and cost of a dedicated SaaS platform — provided their deployments occur in areas with reasonable mobile data coverage, their nominated contacts are reliably reachable, and their workers use supported iOS or Android devices.</w:t>
      </w:r>
    </w:p>
    <w:p>
      <w:pPr>
        <w:spacing w:before="200" w:after="0"/>
      </w:pPr>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4"/>
      </w:pBdr>
      <w:spacing w:before="120" w:after="0"/>
    </w:pPr>
    <w:r>
      <w:rPr>
        <w:rFonts w:ascii="Arial" w:cs="Arial" w:eastAsia="Arial" w:hAnsi="Arial"/>
        <w:color w:val="6B7280"/>
        <w:sz w:val="18"/>
        <w:szCs w:val="18"/>
      </w:rPr>
      <w:t xml:space="preserve">OTG AppSuite</w:t>
    </w:r>
    <w:r>
      <w:rPr>
        <w:rFonts w:ascii="Arial" w:cs="Arial" w:eastAsia="Arial" w:hAnsi="Arial"/>
        <w:color w:val="6B7280"/>
        <w:sz w:val="18"/>
        <w:szCs w:val="18"/>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4"/>
      </w:pBdr>
      <w:spacing w:before="0" w:after="120"/>
    </w:pPr>
    <w:r>
      <w:rPr>
        <w:rFonts w:ascii="Arial" w:cs="Arial" w:eastAsia="Arial" w:hAnsi="Arial"/>
        <w:color w:val="6B7280"/>
        <w:sz w:val="18"/>
        <w:szCs w:val="18"/>
      </w:rPr>
      <w:t xml:space="preserve">OTG AppSuite  —  Lone Worker Safety Platform</w:t>
    </w:r>
    <w:r>
      <w:rPr>
        <w:rFonts w:ascii="Arial" w:cs="Arial" w:eastAsia="Arial" w:hAnsi="Arial"/>
        <w:color w:val="6B7280"/>
        <w:sz w:val="18"/>
        <w:szCs w:val="18"/>
      </w:rPr>
      <w:t xml:space="preserve">	Technical Architecture and Security Overview — For IT Advisors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A3A5C"/>
      <w:sz w:val="26"/>
      <w:szCs w:val="26"/>
    </w:rPr>
  </w:style>
  <w:style w:type="paragraph" w:styleId="Heading3">
    <w:name w:val="Heading 3"/>
    <w:basedOn w:val="Normal"/>
    <w:next w:val="Normal"/>
    <w:qFormat/>
    <w:pPr>
      <w:spacing w:before="160" w:after="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2026-03-09T07:59:08.777Z</dcterms:created>
  <dcterms:modified xsi:type="dcterms:W3CDTF">2026-03-09T07:59:08.798Z</dcterms:modified>
</cp:coreProperties>
</file>

<file path=docProps/custom.xml><?xml version="1.0" encoding="utf-8"?>
<Properties xmlns="http://schemas.openxmlformats.org/officeDocument/2006/custom-properties" xmlns:vt="http://schemas.openxmlformats.org/officeDocument/2006/docPropsVTypes"/>
</file>