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民营企业现代企业制度指数评价调查问卷</w:t>
      </w:r>
    </w:p>
    <w:p/>
    <w:p>
      <w:r>
        <w:rPr>
          <w:rFonts w:ascii="宋体" w:hAnsi="宋体" w:eastAsia="宋体"/>
          <w:sz w:val="24"/>
        </w:rPr>
        <w:t>制表时间：______年____月</w:t>
      </w:r>
    </w:p>
    <w:p/>
    <w:p>
      <w:r>
        <w:rPr>
          <w:rFonts w:ascii="宋体" w:hAnsi="宋体" w:eastAsia="宋体"/>
          <w:b/>
          <w:sz w:val="24"/>
        </w:rPr>
        <w:t>企业基本信息：</w:t>
      </w:r>
    </w:p>
    <w:p/>
    <w:p>
      <w:r>
        <w:rPr>
          <w:rFonts w:ascii="宋体" w:hAnsi="宋体" w:eastAsia="宋体"/>
          <w:sz w:val="24"/>
        </w:rPr>
        <w:t>企业主营业务：A. 第一产业 B. 第二产业 C. 第三产业 D. 多元化经营</w:t>
      </w:r>
    </w:p>
    <w:p>
      <w:r>
        <w:rPr>
          <w:rFonts w:ascii="宋体" w:hAnsi="宋体" w:eastAsia="宋体"/>
          <w:sz w:val="24"/>
        </w:rPr>
        <w:t>企业规模：A. 大型 B. 中型 C. 小型 D. 微型</w:t>
      </w:r>
    </w:p>
    <w:p>
      <w:r>
        <w:rPr>
          <w:rFonts w:ascii="宋体" w:hAnsi="宋体" w:eastAsia="宋体"/>
          <w:sz w:val="24"/>
        </w:rPr>
        <w:t>企业是否为民营企业 500 强：A. 是 B. 否（企业规模选 "大型" 时必填）</w:t>
      </w:r>
    </w:p>
    <w:p>
      <w:r>
        <w:rPr>
          <w:rFonts w:ascii="宋体" w:hAnsi="宋体" w:eastAsia="宋体"/>
          <w:sz w:val="24"/>
        </w:rPr>
        <w:t>企业成立年限：______年 5. 上一年度营业收入：______万元 6. 上一年度研发投入金额：万元，占营收比例：%</w:t>
      </w:r>
    </w:p>
    <w:p/>
    <w:p/>
    <w:p>
      <w:pPr>
        <w:jc w:val="center"/>
      </w:pPr>
      <w:r>
        <w:rPr>
          <w:rFonts w:ascii="宋体" w:hAnsi="宋体" w:eastAsia="宋体"/>
          <w:b/>
          <w:sz w:val="28"/>
        </w:rPr>
        <w:t>初级指标评价问卷（基础指标）</w:t>
      </w:r>
    </w:p>
    <w:p/>
    <w:p>
      <w:r>
        <w:rPr>
          <w:rFonts w:ascii="宋体" w:hAnsi="宋体" w:eastAsia="宋体"/>
          <w:b/>
          <w:sz w:val="24"/>
        </w:rPr>
        <w:t>治理方向性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治理方向性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党组织建设</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规范党组织建设</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评分标准：完成以下对应条件的得1分</w:t>
              <w:br/>
              <w:t>1.有三名以上正式党员的企业，根据上级党组织要求成立党在企业的基层组织；</w:t>
              <w:br/>
              <w:t>2.暂不具备单独组建党组织条件的，联合组建区域性党组织、行业性党组织。</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能证明党组织或者联合组建党组织的文件或记录。</w:t>
            </w:r>
          </w:p>
        </w:tc>
      </w:tr>
    </w:tbl>
    <w:p/>
    <w:p/>
    <w:p>
      <w:r>
        <w:rPr>
          <w:rFonts w:ascii="宋体" w:hAnsi="宋体" w:eastAsia="宋体"/>
          <w:b/>
          <w:sz w:val="24"/>
        </w:rPr>
        <w:t>治理规范性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9</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治理规范性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权属清晰</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产权归属清晰</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评分标准：以下第1项全部完成得2分，根据实际完成情况赋分</w:t>
              <w:br/>
              <w:t>1.企业保持工商登记股东身份、出资金额、出资方式、出资比例或发起人认购的股份种类及股份数等登记信息与实际出资情况保持一致；</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提供公司章程、股东协议、股东会决议、工商登记基本信息</w:t>
            </w:r>
          </w:p>
        </w:tc>
      </w:tr>
    </w:tbl>
    <w:p/>
    <w:p/>
    <w:p>
      <w:r>
        <w:rPr>
          <w:rFonts w:ascii="宋体" w:hAnsi="宋体" w:eastAsia="宋体"/>
          <w:b/>
          <w:sz w:val="24"/>
        </w:rPr>
        <w:t>治理安全性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28</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治理安全性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 xml:space="preserve"> 内部控制</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设立独立的内控、法务机构</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评分标准：企业完成下列第1项事项，即得2分，根据实际完成情况赋分</w:t>
              <w:br/>
              <w:t>1.企业可根据自身规模和业务需要设立独立的内控、法务机构，或者配置、聘请一定数量的法律顾问，发挥统筹协调、组织推动、督促落实作用，为业务和职能部门提供专业指引和支持，加强内控风险合规制度建设。</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提供内控、法务机构设置、人员配置、资源保证、汇报线条等能够证明独立性的资料；</w:t>
            </w:r>
          </w:p>
        </w:tc>
      </w:tr>
    </w:tbl>
    <w:p/>
    <w:p/>
    <w:p>
      <w:r>
        <w:rPr>
          <w:rFonts w:ascii="宋体" w:hAnsi="宋体" w:eastAsia="宋体"/>
          <w:b/>
          <w:sz w:val="24"/>
        </w:rPr>
        <w:t>治理科学性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36</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治理科学性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战略规划、执行与评估</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服务国家战略与新发展格局</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评分标准：每完成以下一项得0.5分</w:t>
              <w:br/>
              <w:t>1.战略规划服务国家重大战略，与国民经济和社会发展规划相衔接；</w:t>
              <w:br/>
              <w:t>2.战略规划符合以国内大循环为主体、国内国际双循环相互促进的新发展格局。</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战略规划文件中体现与国家战略或国民经济和社会发展规划相契合的内容；</w:t>
              <w:br/>
              <w:t>体现国内大循环、国际循环布局的业务项目清单。</w:t>
            </w:r>
          </w:p>
        </w:tc>
      </w:tr>
    </w:tbl>
    <w:p/>
    <w:p/>
    <w:p>
      <w:r>
        <w:rPr>
          <w:rFonts w:ascii="宋体" w:hAnsi="宋体" w:eastAsia="宋体"/>
          <w:b/>
          <w:sz w:val="24"/>
        </w:rPr>
        <w:t>治理社会性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55</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治理社会性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完善企业履行社会责任体系</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建立利益相关者沟通途径</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评分标准：以下利益相关者沟通途径的建立，企业均未实现的得0分，实现【1-2】项的得1分，实现【3】项以上的得2分：</w:t>
              <w:br/>
              <w:t>1. 员工；</w:t>
              <w:br/>
              <w:t>2. 客户；</w:t>
              <w:br/>
              <w:t>3. 供应商；</w:t>
              <w:br/>
              <w:t>4. 债权人（包括但不限于银行）；</w:t>
              <w:br/>
              <w:t>5. 社区。</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提交企业利益相关者保护的制度；</w:t>
              <w:br/>
              <w:t>提交企业利益相关者沟通途径（平台）的运营台账；</w:t>
              <w:br/>
              <w:t>对企业利益相关者沟通途径（平台）负责人的访谈。</w:t>
            </w:r>
          </w:p>
        </w:tc>
      </w:tr>
    </w:tbl>
    <w:p/>
    <w:p/>
    <w:p>
      <w:r>
        <w:rPr>
          <w:rFonts w:ascii="宋体" w:hAnsi="宋体" w:eastAsia="宋体"/>
          <w:b/>
          <w:sz w:val="24"/>
        </w:rPr>
        <w:t>治理有效性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60</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治理有效性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治理目标</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股东分红</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评分标准：符合1的得0.5分，符合2的得1分</w:t>
              <w:br/>
              <w:t>1.成立以来进行过分红；</w:t>
              <w:br/>
              <w:t>2.近5年进行过分红。</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近5年经审计的财务报表。</w:t>
            </w:r>
          </w:p>
        </w:tc>
      </w:tr>
    </w:tbl>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