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初级指标评价问卷（基础指标）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执行党的组织生活制度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保障党组织活活动经费和场所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发挥党组织政治引领作用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培育优秀企业文化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社会主义核心价值体系引领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中华传统文化融入企业管理实践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法治文化培育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企业文化融入管理经营全过程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产权归属清晰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金额：______万元；比例：______%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股权结构简明、清晰、可穿透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产权流转顺畅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法人财产独立与保护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股东出资责任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企业财产边界清晰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会计制度与财务管理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产权结构合理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自主选择组织形式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发挥章程在公司治理中的作用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规范股东行为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董事会组成及规范运行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人数：______人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规范组建经理层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高级管理人员聘任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监事会/审计委员会设置及权责配置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监事选聘和监事会运行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规范董事、监事和高级管理人员行为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 xml:space="preserve"> 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设立独立的内控、法务机构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会计系统控制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关联交易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内部审计与外部审计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风险管理/合规管理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风险合规审查嵌入业务流程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构建亲清政商关系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建立完善反舞弊举报调查机制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次数：______次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国际化经营合规管理体系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服务国家战略与新发展格局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聚焦主业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战略管理权责分工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战略执行与监督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科学管理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人力资源管理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数据管理与信息安全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安全生产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产品质量与客户服务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供应商管理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民主管理与员工权益保障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工会建设与职工民主管理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劳动合同与社保工资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劳动保护与争议处理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劳动规章制度建设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创新能力与成果转化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创新治理体系与风险管控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研发投入与管理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产学研合作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知识产权管理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建立利益相关者沟通途径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践行诚信经营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保护消费者权益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多维度为社会事业贡献力量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完善企业收入分配制度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企业薪酬制度和水平科学合理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股东分红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中小股东参会情况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治理结果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盈利能力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偿债与财务稳定性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成长性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