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中级指标评价问卷（鼓励指标）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党建融入章程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章程中关于党组织的内容。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提供货币出资缴纳凭证、非货币出资评估转移登记资料等原始取得股权的凭证资料，提供股权转让合同、赠与合同、遗嘱、遗赠抚养协议，款项支付凭证等继受取得股权的文件资料。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内部控制权力制衡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提供内控体系管控方法，严格规范重要岗位和关键人员在授权、审批、执行、报告等方面的权责文件资料，及决议审批文件；</w:t>
              <w:br/>
              <w:t>提供重大决策、重大事项、重要人事任免及大额资金支付业务事项的标准，实行集体决策审批或者联签制度文件，及决议审批文件。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投资项目与《产业结构调整指导目录》中鼓励类目录的对照说明。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构建数字话利益相关者参与平台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提交企业利益相关者保护的制度；</w:t>
              <w:br/>
              <w:t>提交企业利益相关者沟通途径（平台）的运营台账；</w:t>
              <w:br/>
              <w:t>对企业利益相关者沟通途径（平台）负责人的访谈。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股东分红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