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高级指标评价问卷（拔高指标）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服务企业发展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凝聚员工群众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社会主义核心价值体系引领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企业文化建设塑造企业形象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法人财产独立与保护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企业财产边界清晰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对接资本市场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非执行公司事务董事的监督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集团公司治理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规范董事、监事和高级管理人员行为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设立独立的内控、法务机构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内控、风险、合规管理体系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内控、风险、合规管理三道防线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风险信息收集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合规义务识别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风险识别、评估与预警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应对风险和机会的措施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风险合规审查嵌入业务流程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战略评估与调整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数字赋能战略管理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国家级科研项目参与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上一年度党组织活动经费金额：______元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参与标准制定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社会责任理念融入生产经营全过程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完善企业收入分配制度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上市公司完善收入分配机制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客户满意度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品牌声誉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治理韧性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