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初级指标评价问卷（基础指标）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是 B. 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能证明党组织或者联合组建党组织的文件或记录。</w:t>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产权归属清晰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是 B. 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提供公司章程、股东协议、股东会决议、工商登记基本信息</w:t>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 xml:space="preserve"> 内部控制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是 B. 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提供内控、法务机构设置、人员配置、资源保证、汇报线条等能够证明独立性的资料；</w:t>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服务国家战略与新发展格局</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是 B. 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战略规划文件中体现与国家战略或国民经济和社会发展规划相契合的内容；</w:t>
              <w:br/>
              <w:t>体现国内大循环、国际循环布局的业务项目清单。</w:t>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建立利益相关者沟通途径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是 B. 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提交企业利益相关者保护的制度；</w:t>
              <w:br/>
              <w:t>提交企业利益相关者沟通途径（平台）的运营台账；</w:t>
              <w:br/>
              <w:t>对企业利益相关者沟通途径（平台）负责人的访谈。</w:t>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股东分红</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是 B. 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近5年经审计的财务报表。</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