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000000"/>
          <w:sz w:val="52"/>
        </w:rPr>
        <w:br/>
        <w:br/>
        <w:br/>
        <w:br/>
        <w:t>现代企业制度建设评价报告</w:t>
        <w:br/>
        <w:br/>
      </w:r>
    </w:p>
    <w:p>
      <w:pPr>
        <w:jc w:val="center"/>
      </w:pPr>
      <w:r>
        <w:rPr>
          <w:rFonts w:ascii="黑体" w:hAnsi="黑体" w:eastAsia="黑体"/>
          <w:b/>
          <w:sz w:val="44"/>
        </w:rPr>
        <w:br/>
        <w:br/>
        <w:br/>
        <w:br/>
        <w:br/>
      </w:r>
    </w:p>
    <w:p>
      <w:pPr>
        <w:jc w:val="center"/>
      </w:pPr>
      <w:r>
        <w:rPr>
          <w:rFonts w:ascii="仿宋_GB2312" w:hAnsi="仿宋_GB2312" w:eastAsia="仿宋_GB2312"/>
          <w:sz w:val="36"/>
        </w:rPr>
        <w:br/>
        <w:br/>
        <w:br/>
        <w:br/>
        <w:br/>
        <w:t>2025年11月</w:t>
        <w:br/>
        <w:br/>
      </w:r>
    </w:p>
    <w:p>
      <w:r>
        <w:br w:type="page"/>
      </w:r>
    </w:p>
    <w:p>
      <w:pPr>
        <w:pStyle w:val="Heading1"/>
      </w:pPr>
      <w:r>
        <w:t>一、企业概况</w:t>
      </w:r>
    </w:p>
    <w:p>
      <w:pPr>
        <w:pStyle w:val="Heading2"/>
      </w:pPr>
      <w:r>
        <w:t>（一）基本情况</w:t>
      </w:r>
    </w:p>
    <w:p>
      <w:pPr>
        <w:ind w:firstLine="720"/>
      </w:pPr>
      <w:r>
        <w:t>成立于2013-05-16，是一家专注于食品领域的有限责任公司。企业注册资本13万元，年营业收入达99万元，现有员工999人。</w:t>
        <w:br/>
        <w:br/>
        <w:t>企业统一社会信用代码为871140，坐落于。</w:t>
      </w:r>
    </w:p>
    <w:p>
      <w:pPr>
        <w:pStyle w:val="Heading2"/>
      </w:pPr>
      <w:r>
        <w:t>（二）发展定位</w:t>
      </w:r>
    </w:p>
    <w:p>
      <w:pPr>
        <w:ind w:firstLine="720"/>
      </w:pPr>
      <w:r>
        <w:t>企业立足食品行业，定位为行业领军企业。近年来，企业始终坚持创新驱动发展战略，不断优化产业结构，持续提升核心竞争力。通过完善现代企业制度建设，企业在规范化管理、科学决策、风险防控等方面取得显著成效，为企业高质量发展奠定了坚实基础。</w:t>
      </w:r>
    </w:p>
    <w:p>
      <w:r>
        <w:br w:type="page"/>
      </w:r>
    </w:p>
    <w:p>
      <w:pPr>
        <w:pStyle w:val="Heading1"/>
      </w:pPr>
      <w:r>
        <w:t>二、现代制度建设总体评价</w:t>
      </w:r>
    </w:p>
    <w:p>
      <w:pPr>
        <w:ind w:firstLine="720"/>
      </w:pPr>
      <w:r>
        <w:t>经对贵企业现代制度建设情况进行全面评估，企业制度建设水平总体达到中等标准，。</w:t>
        <w:br/>
        <w:br/>
        <w:t>本次评价立足于现代企业制度指数评价体系，从党建引领、产权结构、公司治理、战略管理、风险管控、科技创新、社会责任等多个维度进行综合考量。评价结果显示，企业在适用指标中完成度较高，制度建设取得积极成效。</w:t>
      </w:r>
    </w:p>
    <w:p>
      <w:pPr>
        <w:pStyle w:val="Heading2"/>
      </w:pPr>
      <w:r>
        <w:t>（一）总体评价结果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504"/>
        </w:trPr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6"/>
              </w:rPr>
              <w:t>评价项目</w:t>
            </w:r>
          </w:p>
        </w:tc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6"/>
              </w:rPr>
              <w:t>评价结果</w:t>
            </w:r>
          </w:p>
        </w:tc>
      </w:tr>
      <w:tr>
        <w:trPr>
          <w:trHeight w:val="504"/>
        </w:trPr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评价等级</w:t>
            </w:r>
          </w:p>
        </w:tc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中等</w:t>
            </w:r>
          </w:p>
        </w:tc>
      </w:tr>
      <w:tr>
        <w:trPr>
          <w:trHeight w:val="504"/>
        </w:trPr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总体水平</w:t>
            </w:r>
          </w:p>
        </w:tc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4.4%</w:t>
            </w:r>
          </w:p>
        </w:tc>
      </w:tr>
      <w:tr>
        <w:trPr>
          <w:trHeight w:val="504"/>
        </w:trPr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适用维度数</w:t>
            </w:r>
          </w:p>
        </w:tc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1个</w:t>
            </w:r>
          </w:p>
        </w:tc>
      </w:tr>
      <w:tr>
        <w:trPr>
          <w:trHeight w:val="504"/>
        </w:trPr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评价结论</w:t>
            </w:r>
          </w:p>
        </w:tc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</w:r>
          </w:p>
        </w:tc>
      </w:tr>
    </w:tbl>
    <w:p/>
    <w:p>
      <w:pPr>
        <w:ind w:firstLine="720"/>
      </w:pPr>
      <w:r>
        <w:t>上表展示了企业现代制度建设的总体评价结果。从评价等级来看，企业达到了中等水平，总体建设水平为4.4%，这一成绩在同类企业中仍有较大提升空间。本次评价涵盖1个适用维度，全面考察了企业在各个领域的制度建设情况。，这为企业未来的发展奠定了初步的制度基础。</w:t>
      </w:r>
    </w:p>
    <w:p>
      <w:pPr>
        <w:pStyle w:val="Heading2"/>
      </w:pPr>
      <w:r>
        <w:t>（二）各维度建设水平详表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rHeight w:val="504"/>
        </w:trPr>
        <w:tc>
          <w:tcPr>
            <w:tcW w:type="dxa" w:w="216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6"/>
              </w:rPr>
              <w:t>序号</w:t>
            </w:r>
          </w:p>
        </w:tc>
        <w:tc>
          <w:tcPr>
            <w:tcW w:type="dxa" w:w="216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6"/>
              </w:rPr>
              <w:t>评价维度</w:t>
            </w:r>
          </w:p>
        </w:tc>
        <w:tc>
          <w:tcPr>
            <w:tcW w:type="dxa" w:w="216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6"/>
              </w:rPr>
              <w:t>建设水平</w:t>
            </w:r>
          </w:p>
        </w:tc>
        <w:tc>
          <w:tcPr>
            <w:tcW w:type="dxa" w:w="216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6"/>
              </w:rPr>
              <w:t>水平评价</w:t>
            </w:r>
          </w:p>
        </w:tc>
      </w:tr>
      <w:tr>
        <w:trPr>
          <w:trHeight w:val="504"/>
        </w:trPr>
        <w:tc>
          <w:tcPr>
            <w:tcW w:type="dxa" w:w="216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治理方向性</w:t>
            </w:r>
          </w:p>
        </w:tc>
        <w:tc>
          <w:tcPr>
            <w:tcW w:type="dxa" w:w="216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100.0%</w:t>
            </w:r>
          </w:p>
        </w:tc>
        <w:tc>
          <w:tcPr>
            <w:tcW w:type="dxa" w:w="216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优秀</w:t>
            </w:r>
          </w:p>
        </w:tc>
      </w:tr>
    </w:tbl>
    <w:p/>
    <w:p>
      <w:pPr>
        <w:ind w:firstLine="720"/>
      </w:pPr>
      <w:r>
        <w:t>上表详细列出了企业在各个维度的建设水平，按得分率从高到低排序。从表中数据可以看出，企业在不同维度的表现存在明显差异，呈现出"有优势、有短板"的特点。</w:t>
      </w:r>
    </w:p>
    <w:p>
      <w:pPr>
        <w:ind w:firstLine="720"/>
      </w:pPr>
      <w:r>
        <w:t>从优势维度来看，企业在治理方向性（100.0%）等方面表现突出，相关制度体系健全，执行情况良好，成为企业规范管理的重要保障。特别是治理方向性维度，以100.0%的建设水平位居首位，充分说明企业在该领域建立了较为系统的制度框架，有效支撑了企业的规范化运作。这些优势领域的成功经验，值得在其他维度中借鉴推广。</w:t>
      </w:r>
    </w:p>
    <w:p>
      <w:r>
        <w:br w:type="page"/>
      </w:r>
    </w:p>
    <w:p>
      <w:pPr>
        <w:pStyle w:val="Heading1"/>
      </w:pPr>
      <w:r>
        <w:t>三、制度建设主要成效</w:t>
      </w:r>
    </w:p>
    <w:p>
      <w:pPr>
        <w:pStyle w:val="Heading2"/>
      </w:pPr>
      <w:r>
        <w:t>（一）治理方向性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504"/>
        </w:trPr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6"/>
              </w:rPr>
              <w:t>评价指标</w:t>
            </w:r>
          </w:p>
        </w:tc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b/>
                <w:color w:val="000000"/>
                <w:sz w:val="26"/>
              </w:rPr>
              <w:t>评价结果</w:t>
            </w:r>
          </w:p>
        </w:tc>
      </w:tr>
      <w:tr>
        <w:trPr>
          <w:trHeight w:val="504"/>
        </w:trPr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维度名称</w:t>
            </w:r>
          </w:p>
        </w:tc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治理方向性</w:t>
            </w:r>
          </w:p>
        </w:tc>
      </w:tr>
      <w:tr>
        <w:trPr>
          <w:trHeight w:val="504"/>
        </w:trPr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建设水平</w:t>
            </w:r>
          </w:p>
        </w:tc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100.0%</w:t>
            </w:r>
          </w:p>
        </w:tc>
      </w:tr>
      <w:tr>
        <w:trPr>
          <w:trHeight w:val="504"/>
        </w:trPr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水平评价</w:t>
            </w:r>
          </w:p>
        </w:tc>
        <w:tc>
          <w:tcPr>
            <w:tcW w:type="dxa" w:w="4320"/>
          </w:tcPr>
          <w:p>
            <w:pPr>
              <w:spacing w:before="60" w:after="60"/>
              <w:jc w:val="center"/>
            </w:pPr>
            <w:r>
              <w:rPr>
                <w:rFonts w:ascii="仿宋_GB2312" w:hAnsi="仿宋_GB2312" w:eastAsia="仿宋_GB2312"/>
                <w:sz w:val="24"/>
              </w:rPr>
              <w:t>优秀（制度健全完善）</w:t>
            </w:r>
          </w:p>
        </w:tc>
      </w:tr>
    </w:tbl>
    <w:p/>
    <w:p>
      <w:pPr>
        <w:ind w:firstLine="720"/>
      </w:pPr>
      <w:r>
        <w:t>上表展示了治理方向性维度的具体评价结果。该维度建设水平达到100.0%，在所有评价维度中排名第1位，属于企业的核心优势领域。这一成绩的取得，充分体现了企业在治理方向性领域的重视程度和投入力度。</w:t>
      </w:r>
    </w:p>
    <w:p>
      <w:pPr>
        <w:ind w:firstLine="720"/>
      </w:pPr>
      <w:r>
        <w:t>企业在治理方向性方面制度建设取得积极成效。</w:t>
      </w:r>
    </w:p>
    <w:p/>
    <w:p>
      <w:pPr>
        <w:ind w:firstLine="720"/>
      </w:pPr>
      <w:r>
        <w:rPr>
          <w:b/>
          <w:color w:val="0066CC"/>
        </w:rPr>
        <w:t>【主要亮点】制度建设成效显著，为企业规范化管理提供了有力支撑。</w:t>
      </w:r>
    </w:p>
    <w:p>
      <w:r>
        <w:br w:type="page"/>
      </w:r>
    </w:p>
    <w:p>
      <w:pPr>
        <w:pStyle w:val="Heading1"/>
      </w:pPr>
      <w:r>
        <w:t>四、存在的问题与挑战</w:t>
      </w:r>
    </w:p>
    <w:p>
      <w:pPr>
        <w:ind w:firstLine="720"/>
      </w:pPr>
      <w:r>
        <w:t>评价结果显示，企业现代制度建设总体水平良好，各项制度基本健全。建议企业继续巩固现有成果，持续优化完善，不断提升制度执行力和有效性。</w:t>
      </w:r>
    </w:p>
    <w:p>
      <w:r>
        <w:br w:type="page"/>
      </w:r>
    </w:p>
    <w:p>
      <w:pPr>
        <w:pStyle w:val="Heading1"/>
      </w:pPr>
      <w:r>
        <w:t>五、改进建议与发展方向</w:t>
      </w:r>
    </w:p>
    <w:p>
      <w:pPr>
        <w:pStyle w:val="Heading2"/>
      </w:pPr>
      <w:r>
        <w:t>（一）总体思路</w:t>
      </w:r>
    </w:p>
    <w:p>
      <w:pPr>
        <w:ind w:firstLine="720"/>
      </w:pPr>
      <w:r>
        <w:t>建议企业以本次评价为契机，系统谋划现代制度建设工作，坚持问题导向和目标导向相结合，补短板、强弱项、促提升，��断完善中国特色现代企业制度，为企业高质量发展提供坚实制度保障。</w:t>
      </w:r>
    </w:p>
    <w:p>
      <w:pPr>
        <w:pStyle w:val="Heading2"/>
      </w:pPr>
      <w:r>
        <w:t>（二）重点举措</w:t>
      </w:r>
    </w:p>
    <w:p>
      <w:pPr>
        <w:ind w:firstLine="720"/>
      </w:pPr>
      <w:r>
        <w:t>1. 持续深化改革创新，不断完善公司治理结构，提升治理能力和水平。</w:t>
      </w:r>
    </w:p>
    <w:p>
      <w:pPr>
        <w:ind w:firstLine="720"/>
      </w:pPr>
      <w:r>
        <w:t>2. 加强制度执行监督，确保各项制度落地见效，切实发挥制度效能。</w:t>
      </w:r>
    </w:p>
    <w:p>
      <w:pPr>
        <w:ind w:firstLine="720"/>
      </w:pPr>
      <w:r>
        <w:t>3. 强化数字化转型，推进制度管理信息化建设，提升管理效率。</w:t>
      </w:r>
    </w:p>
    <w:p>
      <w:pPr>
        <w:ind w:firstLine="720"/>
      </w:pPr>
      <w:r>
        <w:t>4. 注重人才队伍建设，提升管理人员专业能力和制度执行力。</w:t>
      </w:r>
    </w:p>
    <w:p>
      <w:pPr>
        <w:ind w:firstLine="720"/>
      </w:pPr>
      <w:r>
        <w:t>5. 加强交流学习，借鉴先进经验，持续优化完善制度体系。</w:t>
      </w:r>
    </w:p>
    <w:p>
      <w:r>
        <w:br w:type="page"/>
      </w:r>
    </w:p>
    <w:p>
      <w:pPr>
        <w:pStyle w:val="Heading1"/>
      </w:pPr>
      <w:r>
        <w:t>附录：评价指标概览</w:t>
      </w:r>
    </w:p>
    <w:p>
      <w:pPr>
        <w:ind w:firstLine="720"/>
      </w:pPr>
      <w:r>
        <w:t>本次评价依据现代企业制度指数评价体系，涵盖党建引领、产权结构、公司治理、战略管理、内控风险、科技创新、社会责任等多个维度，全面考察企业制度建设情况。各维度得分情况如下：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评价维度</w:t>
            </w:r>
          </w:p>
        </w:tc>
        <w:tc>
          <w:tcPr>
            <w:tcW w:type="dxa" w:w="2880"/>
          </w:tcPr>
          <w:p>
            <w:r>
              <w:t>建设水平</w:t>
            </w:r>
          </w:p>
        </w:tc>
        <w:tc>
          <w:tcPr>
            <w:tcW w:type="dxa" w:w="2880"/>
          </w:tcPr>
          <w:p>
            <w:r>
              <w:t>评价</w:t>
            </w:r>
          </w:p>
        </w:tc>
      </w:tr>
      <w:tr>
        <w:tc>
          <w:tcPr>
            <w:tcW w:type="dxa" w:w="2880"/>
          </w:tcPr>
          <w:p>
            <w:r>
              <w:t>治理方向性</w:t>
            </w:r>
          </w:p>
        </w:tc>
        <w:tc>
          <w:tcPr>
            <w:tcW w:type="dxa" w:w="2880"/>
          </w:tcPr>
          <w:p>
            <w:r>
              <w:t>优秀</w:t>
            </w:r>
          </w:p>
        </w:tc>
        <w:tc>
          <w:tcPr>
            <w:tcW w:type="dxa" w:w="2880"/>
          </w:tcPr>
          <w:p>
            <w:r>
              <w:t>制度健全完善</w:t>
            </w:r>
          </w:p>
        </w:tc>
      </w:tr>
    </w:tbl>
    <w:p>
      <w:pPr>
        <w:pStyle w:val="Heading2"/>
      </w:pPr>
      <w:r>
        <w:t>（一）制度建设风险评估分析</w:t>
      </w:r>
    </w:p>
    <w:p>
      <w:pPr>
        <w:ind w:firstLine="720"/>
      </w:pPr>
      <w:r>
        <w:t>从上述评价指标概览可以看出，企业现代制度建设呈现出明显的层次性特征。整体而言，企业在制度体系构建方面已经形成了一定基础，平均建设水平达到优秀水平，这充分说明企业管理层对制度建设的重视程度较高，并且在实践中取得了积极成效。</w:t>
      </w:r>
    </w:p>
    <w:p>
      <w:pPr>
        <w:ind w:firstLine="720"/>
      </w:pPr>
      <w:r>
        <w:t>其中，治理方向性维度表现尤为突出，达到优秀水平，制度健全完善。这表明企业在该领域的制度建设已经形成了较为成熟的管理体系，相关制度不仅覆盖全面，而且执行到位，能够有效支撑企业的规范化运营。这一优势的形成，既得益于企业领导层的高度重视和战略部署，也离不开管理团队的持续投入和精细化管理。</w:t>
      </w:r>
    </w:p>
    <w:p>
      <w:pPr>
        <w:ind w:firstLine="720"/>
      </w:pPr>
      <w:r>
        <w:t>从风险评估角度来看，企业有1个维度处于低风险区间，这些领域的制度建设已经达到较高水平，风险管控能力强，能够有效应对各类挑战。</w:t>
      </w:r>
    </w:p>
    <w:p>
      <w:pPr>
        <w:ind w:firstLine="720"/>
      </w:pPr>
      <w:r>
        <w:t>综合来看，企业现代制度建设既有亮点也有短板，既有优势也有挑战。在未来的发展中，企业应当坚持系统思维，既要继续巩固和发挥优势领域的引领示范作用，又要下大力气补齐薄弱环节，推动各维度制度建设均衡发展、协同提升。只有这样，才能真正构建起全面、系统、有效的现代企业制度体系，为企业的高质量发展提供坚实的制度保障。</w:t>
      </w:r>
    </w:p>
    <w:p>
      <w:pPr>
        <w:pStyle w:val="Heading2"/>
      </w:pPr>
      <w:r>
        <w:t>（二）制度建设维度对比图</w:t>
      </w:r>
    </w:p>
    <w:p>
      <w:pPr>
        <w:ind w:firstLine="720"/>
      </w:pPr>
      <w:r>
        <w:t>为更直观地展示企业各维度制度建设情况，现通过可视化图表进行呈现。图表能够清晰反映各维度之间的对比关系，帮助企业准确把握自身优势和不足，为后续改进提供参考依据。</w:t>
      </w:r>
    </w:p>
    <w:p>
      <w:r>
        <w:drawing>
          <wp:inline xmlns:a="http://schemas.openxmlformats.org/drawingml/2006/main" xmlns:pic="http://schemas.openxmlformats.org/drawingml/2006/picture">
            <wp:extent cx="5486400" cy="27124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bar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2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20"/>
      </w:pPr>
      <w:r>
        <w:t>上图通过柱状图形式展示了各维度制度建设水平的横向对比。从图中可以清晰看出，不同维度之间存在明显差异，这种差异既反映了企业在不同领域的资源投入和重视程度，也体现了各维度制度建设的难易程度和发展阶段。柱状图的高低起伏，为企业指明了未来努力的方向：高柱代表的优势领域需要继续保持和深化，低柱所示的薄弱环节则需要加大投入、重点突破。</w:t>
      </w:r>
    </w:p>
    <w:p>
      <w:r>
        <w:drawing>
          <wp:inline xmlns:a="http://schemas.openxmlformats.org/drawingml/2006/main" xmlns:pic="http://schemas.openxmlformats.org/drawingml/2006/picture">
            <wp:extent cx="5029200" cy="43076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rad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07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20"/>
      </w:pPr>
      <w:r>
        <w:t>雷达图从整体视角展现了企业制度建设的全景轮廓。理想状态下，雷达图应呈现出饱满均衡的多边形，这意味着各维度发展均衡、协调共进。而当前图形的形态，真实反映了企业制度建设的实际状况：突出的顶点代表优势领域，凹陷的部分则提示存在短板。通过观察雷达图的整体形态，企业可以更加直观地认识到自身制度建设的均衡性，从而有针对性地制定改进策略，逐步将雷达图调整为更加均衡饱满的理想形态。</w:t>
      </w:r>
    </w:p>
    <w:p>
      <w:r>
        <w:drawing>
          <wp:inline xmlns:a="http://schemas.openxmlformats.org/drawingml/2006/main" xmlns:pic="http://schemas.openxmlformats.org/drawingml/2006/picture">
            <wp:extent cx="4572000" cy="48935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pie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893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720"/>
      </w:pPr>
      <w:r>
        <w:t>风险分布饼图从风险管理角度对各维度进行了分类统计。不同颜色的扇区代表不同风险等级的维度占比，这为企业风险评估提供了量化依据。绿色扇区越大，说明企业低风险维度越多，整体制度建设越稳健；橙色和红色扇区的存在，则提醒企业需要高度关注相关领域的风险防控。通过这一饼图，企业管理层可以快速判断制度建设的风险分布状况，进而合理配置资源，优先加强高风险领域的制度完善工作，确保企业稳健发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20"/>
    </w:pPr>
    <w:rPr>
      <w:rFonts w:ascii="仿宋_GB2312" w:hAnsi="仿宋_GB2312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