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1.5%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1.5%，这一成绩在同类企业中仍有较大提升空间。本次评价涵盖1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pPr>
        <w:ind w:firstLine="720"/>
      </w:pPr>
      <w:r>
        <w:t>从优势维度来看，企业在治理方向性（100.0%）等方面表现突出，相关制度体系健全，执行情况良好，成为企业规范管理的重要保障。特别是治理方向性维度，以100.0%的建设水平位居首位，充分说明企业在该领域建立了较为系统的制度框架，有效支撑了企业的规范化运作。这些优势领域的成功经验，值得在其他维度中借鉴推广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pPr>
        <w:pStyle w:val="Heading2"/>
      </w:pPr>
      <w:r>
        <w:t>（一）治理方向性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优秀（制度健全完善）</w:t>
            </w:r>
          </w:p>
        </w:tc>
      </w:tr>
    </w:tbl>
    <w:p/>
    <w:p>
      <w:pPr>
        <w:ind w:firstLine="720"/>
      </w:pPr>
      <w:r>
        <w:t>上表展示了治理方向性维度的具体评价结果。该维度建设水平达到100.0%，在所有评价维度中排名第1位，属于企业的核心优势领域。这一成绩的取得，充分体现了企业在治理方向性领域的重视程度和投入力度。</w:t>
      </w:r>
    </w:p>
    <w:p>
      <w:pPr>
        <w:ind w:firstLine="720"/>
      </w:pPr>
      <w:r>
        <w:t>企业在治理方向性方面制度建设取得积极成效。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评价结果显示，企业现代制度建设总体水平良好，各项制度基本健全。建议企业继续巩固现有成果，持续优化完善，不断提升制度执行力和有效性。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持续深化改革创新，不断完善公司治理结构，提升治理能力和水平。</w:t>
      </w:r>
    </w:p>
    <w:p>
      <w:pPr>
        <w:ind w:firstLine="720"/>
      </w:pPr>
      <w:r>
        <w:t>2. 加强制度执行监督，确保各项制度落地见效，切实发挥制度效能。</w:t>
      </w:r>
    </w:p>
    <w:p>
      <w:pPr>
        <w:ind w:firstLine="720"/>
      </w:pPr>
      <w:r>
        <w:t>3. 强化数字化转型，推进制度管理信息化建设，提升管理效率。</w:t>
      </w:r>
    </w:p>
    <w:p>
      <w:pPr>
        <w:ind w:firstLine="720"/>
      </w:pPr>
      <w:r>
        <w:t>4. 注重人才队伍建设，提升管理人员专业能力和制度执行力。</w:t>
      </w:r>
    </w:p>
    <w:p>
      <w:pPr>
        <w:ind w:firstLine="720"/>
      </w:pPr>
      <w:r>
        <w:t>5. 加强交流学习，借鉴先进经验，持续优化完善制度体系。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治理方向性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  <w:tc>
          <w:tcPr>
            <w:tcW w:type="dxa" w:w="2880"/>
          </w:tcPr>
          <w:p>
            <w:r>
              <w:t>制度健全完善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优秀水平，这充分说明企业管理层对制度建设的重视程度较高，并且在实践中取得了积极成效。</w:t>
      </w:r>
    </w:p>
    <w:p>
      <w:pPr>
        <w:ind w:firstLine="720"/>
      </w:pPr>
      <w:r>
        <w:t>其中，治理方向性维度表现尤为突出，达到优秀水平，制度健全完善。这表明企业在该领域的制度建设已经形成了较为成熟的管理体系，相关制度不仅覆盖全面，而且执行到位，能够有效支撑企业的规范化运营。这一优势的形成，既得益于企业领导层的高度重视和战略部署，也离不开管理团队的持续投入和精细化管理。</w:t>
      </w:r>
    </w:p>
    <w:p>
      <w:pPr>
        <w:ind w:firstLine="720"/>
      </w:pPr>
      <w:r>
        <w:t>从风险评估角度来看，企业有1个维度处于低风险区间，这些领域的制度建设已经达到较高水平，风险管控能力强，能够有效应对各类挑战。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r>
        <w:drawing>
          <wp:inline xmlns:a="http://schemas.openxmlformats.org/drawingml/2006/main" xmlns:pic="http://schemas.openxmlformats.org/drawingml/2006/picture">
            <wp:extent cx="5029200" cy="4307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r>
        <w:drawing>
          <wp:inline xmlns:a="http://schemas.openxmlformats.org/drawingml/2006/main" xmlns:pic="http://schemas.openxmlformats.org/drawingml/2006/picture">
            <wp:extent cx="4572000" cy="4893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