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高级指标评价问卷（拔高指标）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规范党组织建设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2.企业建立党建“三重一监督制度”，明确重大项目、重点岗位人员和重大战略决策征求党组织意见制度，明确党组织监督企业内控机制建设和内部腐败治理机制建设。</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党组织参与管理治理工作的会议记录；</w:t>
              <w:br/>
              <w:t>党组织参与管理治理工作的相关规章制度。</w:t>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评分标准：以下第1、2、3、4项全部完成得2分，根据实际完成情况赋分</w:t>
              <w:br/>
              <w:t>3.大型家族企业应依法合规明确家庭成员之间关于家庭财产和企业股权、控制权、经营权、受益权等方面的利益分配；</w:t>
              <w:br/>
              <w:t>4.保险和信托必须依法设立，设立的资金、房产、股权、债权等必须来源合法，不能以逃废债务为目的。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提供书面说明文件，说明家族成员成员之间关于家庭财产和企业股权、控制权、经营权、受益权等方面的利益分配的安排；</w:t>
              <w:br/>
              <w:t>提供设立家族保险和信托，法律和财务机构关于财产来源合法性审查意见。</w:t>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设立独立的内控、法务机构</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2.企业设置审计负责人负责本企业的内部控制管理，组织内部控制审查，监督内部控制的有效实施和内部控制自我评价等；</w:t>
              <w:br/>
              <w:t>3.设置首席合规官/法务合规负责人负责本机构的风险管理、合规管理工作，组织推动管理体系建设，监督风险合规管理部门和岗位的履职情况。</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提供审计负责人姓名、任职文件、职责权限，汇报线条；</w:t>
              <w:br/>
              <w:t>提供首席合规官/法务合规负责人姓名、任职文件、职责权限，汇报线条；</w:t>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1.战略符合新质生产力发展要求，投资布局战略性新兴产业或未来产业领域。</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在战略性新兴产业或未来产业领域的投资清单或项目说明。</w:t>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38</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社会责任理念融入生产经营全过程</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评分标准：以下评价项目，企业实现【4】项的得2分，否则得0分：</w:t>
              <w:br/>
              <w:t>1.企业践行诚信经营理念，建立信用管理体系；</w:t>
              <w:br/>
              <w:t>2.企业已建立利益相关者沟通途径；</w:t>
              <w:br/>
              <w:t>3.企业参与“百城千校万企”等促就业行动；</w:t>
              <w:br/>
              <w:t>4.企业近3年无涉消费者行政处罚，无涉消费者生效败诉司法裁判。</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提交材料同以下评价指标：</w:t>
              <w:br/>
              <w:t>建立利益相关者沟通途径；</w:t>
              <w:br/>
              <w:t>践行诚信经营；</w:t>
              <w:br/>
              <w:t>促进稳定就业；</w:t>
              <w:br/>
              <w:t>保护消费者权益。</w:t>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440"/>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40</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2.客户满意度达到95%。</w:t>
            </w:r>
          </w:p>
        </w:tc>
        <w:tc>
          <w:tcPr>
            <w:tcW w:type="dxa" w:w="1440"/>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