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企业名称：企业</w:t>
      </w:r>
    </w:p>
    <w:p>
      <w:pPr>
        <w:jc w:val="center"/>
      </w:pPr>
      <w:r>
        <w:rPr>
          <w:sz w:val="28"/>
        </w:rPr>
        <w:t>评价级别：初级</w:t>
      </w:r>
    </w:p>
    <w:p>
      <w:pPr>
        <w:jc w:val="center"/>
      </w:pPr>
      <w:r>
        <w:rPr>
          <w:b/>
          <w:color w:val="2E5090"/>
          <w:sz w:val="36"/>
        </w:rPr>
        <w:t>综合得分：0.00分</w:t>
      </w:r>
    </w:p>
    <w:p>
      <w:pPr>
        <w:jc w:val="center"/>
      </w:pPr>
      <w:r>
        <w:rPr>
          <w:sz w:val="24"/>
        </w:rPr>
        <w:t>生成日期：2025年12月02日</w:t>
      </w:r>
    </w:p>
    <w:p>
      <w:r>
        <w:br w:type="page"/>
      </w:r>
    </w:p>
    <w:p>
      <w:pPr>
        <w:pStyle w:val="Heading1"/>
      </w:pPr>
      <w:r>
        <w:rPr>
          <w:color w:val="2E5090"/>
        </w:rPr>
        <w:t>执行摘要</w:t>
      </w:r>
    </w:p>
    <w:p>
      <w:r>
        <w:rPr>
          <w:b w:val="0"/>
        </w:rPr>
        <w:t>本次对</w:t>
      </w:r>
      <w:r>
        <w:t>企业</w:t>
      </w:r>
      <w:r>
        <w:t>进行初级级别现代企业制度指数评价，评价指标</w:t>
      </w:r>
      <w:r>
        <w:t>231项，</w:t>
      </w:r>
      <w:r>
        <w:t>总分100.0分，实际得分0.0分，完成度0.0%。</w:t>
      </w:r>
    </w:p>
    <w:p/>
    <w:p>
      <w:r>
        <w:t>主要亮点：</w:t>
      </w:r>
    </w:p>
    <w:p/>
    <w:p>
      <w:r>
        <w:t xml:space="preserve">  制度体系基本健全，建立了基础治理架构</w:t>
      </w:r>
    </w:p>
    <w:p>
      <w:r>
        <w:t xml:space="preserve">  管理制度规范，相关行业运营有序</w:t>
      </w:r>
    </w:p>
    <w:p>
      <w:r>
        <w:t xml:space="preserve">  治理结构清晰，决策执行监督机制基本建立</w:t>
      </w:r>
    </w:p>
    <w:p>
      <w:r>
        <w:t>评价结论：企业现代企业制度建设有待提升，需要系统性完善各项制度。</w:t>
      </w:r>
    </w:p>
    <w:p/>
    <w:p>
      <w:r>
        <w:br w:type="page"/>
      </w:r>
    </w:p>
    <w:p>
      <w:pPr>
        <w:pStyle w:val="Heading1"/>
      </w:pPr>
      <w:r>
        <w:rPr>
          <w:color w:val="2E5090"/>
        </w:rPr>
        <w:t>一、企业客观评价报告</w:t>
      </w:r>
    </w:p>
    <w:p>
      <w:pPr>
        <w:pStyle w:val="Heading2"/>
      </w:pPr>
      <w:r>
        <w:t>（一）企业基本情况评价</w:t>
      </w:r>
    </w:p>
    <w:p>
      <w:r>
        <w:rPr>
          <w:b/>
        </w:rPr>
        <w:t>企业基础信息：</w:t>
      </w:r>
    </w:p>
    <w:p>
      <w:r>
        <w:t>企业是一家企业，</w:t>
      </w:r>
      <w:r>
        <w:t>主营业务为相关行业。</w:t>
      </w:r>
      <w:r>
        <w:t>企业现有员工若干人，</w:t>
      </w:r>
      <w:r>
        <w:t>属于相应企业范畴。</w:t>
      </w:r>
    </w:p>
    <w:p/>
    <w:p>
      <w:r>
        <w:rPr>
          <w:b/>
        </w:rPr>
        <w:t>企业发展状况：</w:t>
      </w:r>
    </w:p>
    <w:p>
      <w:r>
        <w:t>企业自成立以来，坚持规范化经营和专业化发展道路，</w:t>
      </w:r>
      <w:r>
        <w:t>在相关行业领域积累了一定的经验和市场声誉。</w:t>
      </w:r>
      <w:r>
        <w:t>公司治理结构逐步完善，管理制度不断健全，</w:t>
      </w:r>
      <w:r>
        <w:t>为进一步提升现代企业制度建设水平奠定了基础。</w:t>
      </w:r>
    </w:p>
    <w:p/>
    <w:p>
      <w:pPr>
        <w:pStyle w:val="Heading2"/>
      </w:pPr>
      <w:r>
        <w:t>（二）现代企业制度建设评价</w:t>
      </w:r>
    </w:p>
    <w:p>
      <w:r>
        <w:rPr>
          <w:b/>
        </w:rPr>
        <w:t>总体评价情况：</w:t>
      </w:r>
    </w:p>
    <w:p>
      <w:r>
        <w:t>根据现代企业制度指数评价体系，</w:t>
      </w:r>
      <w:r>
        <w:t>本次初级级别评价共涉及相应指标，</w:t>
      </w:r>
      <w:r>
        <w:t>总分100.0分，实际得分0.0分，</w:t>
      </w:r>
      <w:r>
        <w:t>综合完成度为0.0%。</w:t>
      </w:r>
      <w:r>
        <w:t>评价结果表明，企业现代企业制度建设表现</w:t>
      </w:r>
      <w:r>
        <w:rPr>
          <w:b/>
        </w:rPr>
        <w:t>有待提升</w:t>
      </w:r>
      <w:r>
        <w:t>，在行业中处于基础水平。</w:t>
      </w:r>
    </w:p>
    <w:p/>
    <w:p>
      <w:pPr>
        <w:pStyle w:val="Heading2"/>
      </w:pPr>
      <w:r>
        <w:t>（三）各维度具体表现</w:t>
      </w:r>
    </w:p>
    <w:p>
      <w:r>
        <w:rPr>
          <w:b/>
        </w:rPr>
        <w:t xml:space="preserve">   党建引领：</w:t>
      </w:r>
      <w:r>
        <w:t>共9项指标，得分0.0分/0.0分（完成度0.0%）。</w:t>
      </w:r>
      <w:r>
        <w:t>该维度表现较弱，有待加强。</w:t>
      </w:r>
    </w:p>
    <w:p>
      <w:r>
        <w:rPr>
          <w:b/>
        </w:rPr>
        <w:t xml:space="preserve">   产权结构：</w:t>
      </w:r>
      <w:r>
        <w:t>共35项指标，得分0.0分/0.0分（完成度0.0%）。</w:t>
      </w:r>
      <w:r>
        <w:t>该维度表现较弱，有待加强。</w:t>
      </w:r>
    </w:p>
    <w:p>
      <w:r>
        <w:rPr>
          <w:b/>
        </w:rPr>
        <w:t xml:space="preserve">   公司治理结构和机制：</w:t>
      </w:r>
      <w:r>
        <w:t>共46项指标，得分0.0分/0.0分（完成度0.0%）。</w:t>
      </w:r>
      <w:r>
        <w:t>该维度表现较弱，有待加强。</w:t>
      </w:r>
    </w:p>
    <w:p>
      <w:r>
        <w:rPr>
          <w:b/>
        </w:rPr>
        <w:t xml:space="preserve">   战略管理：</w:t>
      </w:r>
      <w:r>
        <w:t>共11项指标，得分0.0分/0.0分（完成度0.0%）。</w:t>
      </w:r>
      <w:r>
        <w:t>该维度表现较弱，有待加强。</w:t>
      </w:r>
    </w:p>
    <w:p>
      <w:r>
        <w:rPr>
          <w:b/>
        </w:rPr>
        <w:t xml:space="preserve">   内控、风险与合规管理：</w:t>
      </w:r>
      <w:r>
        <w:t>共27项指标，得分0.0分/0.0分（完成度0.0%）。</w:t>
      </w:r>
      <w:r>
        <w:t>该维度表现较弱，有待加强。</w:t>
      </w:r>
    </w:p>
    <w:p>
      <w:r>
        <w:rPr>
          <w:b/>
        </w:rPr>
        <w:t xml:space="preserve">   科学民主管理：</w:t>
      </w:r>
      <w:r>
        <w:t>共24项指标，得分0.0分/0.0分（完成度0.0%）。</w:t>
      </w:r>
      <w:r>
        <w:t>该维度表现较弱，有待加强。</w:t>
      </w:r>
    </w:p>
    <w:p>
      <w:r>
        <w:rPr>
          <w:b/>
        </w:rPr>
        <w:t xml:space="preserve">   科技创新：</w:t>
      </w:r>
      <w:r>
        <w:t>共11项指标，得分0.0分/0.0分（完成度0.0%）。</w:t>
      </w:r>
      <w:r>
        <w:t>该维度表现较弱，有待加强。</w:t>
      </w:r>
    </w:p>
    <w:p>
      <w:r>
        <w:rPr>
          <w:b/>
        </w:rPr>
        <w:t xml:space="preserve">   社会责任与企业文化：</w:t>
      </w:r>
      <w:r>
        <w:t>共30项指标，得分0.0分/0.0分（完成度0.0%）。</w:t>
      </w:r>
      <w:r>
        <w:t>该维度表现较弱，有待加强。</w:t>
      </w:r>
    </w:p>
    <w:p>
      <w:r>
        <w:rPr>
          <w:b/>
        </w:rPr>
        <w:t xml:space="preserve">   家族企业治理：</w:t>
      </w:r>
      <w:r>
        <w:t>共38项指标，得分0.0分/0.0分（完成度0.0%）。</w:t>
      </w:r>
      <w:r>
        <w:t>该维度表现较弱，有待加强。</w:t>
      </w:r>
    </w:p>
    <w:p/>
    <w:p>
      <w:r>
        <w:br w:type="page"/>
      </w:r>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党建引领</w:t>
            </w:r>
          </w:p>
        </w:tc>
        <w:tc>
          <w:tcPr>
            <w:tcW w:type="dxa" w:w="2160"/>
          </w:tcPr>
          <w:p>
            <w:r>
              <w:t>0.0</w:t>
            </w:r>
          </w:p>
        </w:tc>
        <w:tc>
          <w:tcPr>
            <w:tcW w:type="dxa" w:w="2160"/>
          </w:tcPr>
          <w:p>
            <w:r>
              <w:t>0.0</w:t>
            </w:r>
          </w:p>
        </w:tc>
        <w:tc>
          <w:tcPr>
            <w:tcW w:type="dxa" w:w="2160"/>
          </w:tcPr>
          <w:p>
            <w:r>
              <w:t>0.0%</w:t>
            </w:r>
          </w:p>
        </w:tc>
      </w:tr>
      <w:tr>
        <w:tc>
          <w:tcPr>
            <w:tcW w:type="dxa" w:w="2160"/>
          </w:tcPr>
          <w:p>
            <w:r>
              <w:t>产权结构</w:t>
            </w:r>
          </w:p>
        </w:tc>
        <w:tc>
          <w:tcPr>
            <w:tcW w:type="dxa" w:w="2160"/>
          </w:tcPr>
          <w:p>
            <w:r>
              <w:t>0.0</w:t>
            </w:r>
          </w:p>
        </w:tc>
        <w:tc>
          <w:tcPr>
            <w:tcW w:type="dxa" w:w="2160"/>
          </w:tcPr>
          <w:p>
            <w:r>
              <w:t>0.0</w:t>
            </w:r>
          </w:p>
        </w:tc>
        <w:tc>
          <w:tcPr>
            <w:tcW w:type="dxa" w:w="2160"/>
          </w:tcPr>
          <w:p>
            <w:r>
              <w:t>0.0%</w:t>
            </w:r>
          </w:p>
        </w:tc>
      </w:tr>
      <w:tr>
        <w:tc>
          <w:tcPr>
            <w:tcW w:type="dxa" w:w="2160"/>
          </w:tcPr>
          <w:p>
            <w:r>
              <w:t>公司治理结构和机制</w:t>
            </w:r>
          </w:p>
        </w:tc>
        <w:tc>
          <w:tcPr>
            <w:tcW w:type="dxa" w:w="2160"/>
          </w:tcPr>
          <w:p>
            <w:r>
              <w:t>0.0</w:t>
            </w:r>
          </w:p>
        </w:tc>
        <w:tc>
          <w:tcPr>
            <w:tcW w:type="dxa" w:w="2160"/>
          </w:tcPr>
          <w:p>
            <w:r>
              <w:t>0.0</w:t>
            </w:r>
          </w:p>
        </w:tc>
        <w:tc>
          <w:tcPr>
            <w:tcW w:type="dxa" w:w="2160"/>
          </w:tcPr>
          <w:p>
            <w:r>
              <w:t>0.0%</w:t>
            </w:r>
          </w:p>
        </w:tc>
      </w:tr>
      <w:tr>
        <w:tc>
          <w:tcPr>
            <w:tcW w:type="dxa" w:w="2160"/>
          </w:tcPr>
          <w:p>
            <w:r>
              <w:t>战略管理</w:t>
            </w:r>
          </w:p>
        </w:tc>
        <w:tc>
          <w:tcPr>
            <w:tcW w:type="dxa" w:w="2160"/>
          </w:tcPr>
          <w:p>
            <w:r>
              <w:t>0.0</w:t>
            </w:r>
          </w:p>
        </w:tc>
        <w:tc>
          <w:tcPr>
            <w:tcW w:type="dxa" w:w="2160"/>
          </w:tcPr>
          <w:p>
            <w:r>
              <w:t>0.0</w:t>
            </w:r>
          </w:p>
        </w:tc>
        <w:tc>
          <w:tcPr>
            <w:tcW w:type="dxa" w:w="2160"/>
          </w:tcPr>
          <w:p>
            <w:r>
              <w:t>0.0%</w:t>
            </w:r>
          </w:p>
        </w:tc>
      </w:tr>
      <w:tr>
        <w:tc>
          <w:tcPr>
            <w:tcW w:type="dxa" w:w="2160"/>
          </w:tcPr>
          <w:p>
            <w:r>
              <w:t>内控、风险与合规管理</w:t>
            </w:r>
          </w:p>
        </w:tc>
        <w:tc>
          <w:tcPr>
            <w:tcW w:type="dxa" w:w="2160"/>
          </w:tcPr>
          <w:p>
            <w:r>
              <w:t>0.0</w:t>
            </w:r>
          </w:p>
        </w:tc>
        <w:tc>
          <w:tcPr>
            <w:tcW w:type="dxa" w:w="2160"/>
          </w:tcPr>
          <w:p>
            <w:r>
              <w:t>0.0</w:t>
            </w:r>
          </w:p>
        </w:tc>
        <w:tc>
          <w:tcPr>
            <w:tcW w:type="dxa" w:w="2160"/>
          </w:tcPr>
          <w:p>
            <w:r>
              <w:t>0.0%</w:t>
            </w:r>
          </w:p>
        </w:tc>
      </w:tr>
      <w:tr>
        <w:tc>
          <w:tcPr>
            <w:tcW w:type="dxa" w:w="2160"/>
          </w:tcPr>
          <w:p>
            <w:r>
              <w:t>科学民主管理</w:t>
            </w:r>
          </w:p>
        </w:tc>
        <w:tc>
          <w:tcPr>
            <w:tcW w:type="dxa" w:w="2160"/>
          </w:tcPr>
          <w:p>
            <w:r>
              <w:t>0.0</w:t>
            </w:r>
          </w:p>
        </w:tc>
        <w:tc>
          <w:tcPr>
            <w:tcW w:type="dxa" w:w="2160"/>
          </w:tcPr>
          <w:p>
            <w:r>
              <w:t>0.0</w:t>
            </w:r>
          </w:p>
        </w:tc>
        <w:tc>
          <w:tcPr>
            <w:tcW w:type="dxa" w:w="2160"/>
          </w:tcPr>
          <w:p>
            <w:r>
              <w:t>0.0%</w:t>
            </w:r>
          </w:p>
        </w:tc>
      </w:tr>
      <w:tr>
        <w:tc>
          <w:tcPr>
            <w:tcW w:type="dxa" w:w="2160"/>
          </w:tcPr>
          <w:p>
            <w:r>
              <w:t>科技创新</w:t>
            </w:r>
          </w:p>
        </w:tc>
        <w:tc>
          <w:tcPr>
            <w:tcW w:type="dxa" w:w="2160"/>
          </w:tcPr>
          <w:p>
            <w:r>
              <w:t>0.0</w:t>
            </w:r>
          </w:p>
        </w:tc>
        <w:tc>
          <w:tcPr>
            <w:tcW w:type="dxa" w:w="2160"/>
          </w:tcPr>
          <w:p>
            <w:r>
              <w:t>0.0</w:t>
            </w:r>
          </w:p>
        </w:tc>
        <w:tc>
          <w:tcPr>
            <w:tcW w:type="dxa" w:w="2160"/>
          </w:tcPr>
          <w:p>
            <w:r>
              <w:t>0.0%</w:t>
            </w:r>
          </w:p>
        </w:tc>
      </w:tr>
      <w:tr>
        <w:tc>
          <w:tcPr>
            <w:tcW w:type="dxa" w:w="2160"/>
          </w:tcPr>
          <w:p>
            <w:r>
              <w:t>社会责任与企业文化</w:t>
            </w:r>
          </w:p>
        </w:tc>
        <w:tc>
          <w:tcPr>
            <w:tcW w:type="dxa" w:w="2160"/>
          </w:tcPr>
          <w:p>
            <w:r>
              <w:t>0.0</w:t>
            </w:r>
          </w:p>
        </w:tc>
        <w:tc>
          <w:tcPr>
            <w:tcW w:type="dxa" w:w="2160"/>
          </w:tcPr>
          <w:p>
            <w:r>
              <w:t>0.0</w:t>
            </w:r>
          </w:p>
        </w:tc>
        <w:tc>
          <w:tcPr>
            <w:tcW w:type="dxa" w:w="2160"/>
          </w:tcPr>
          <w:p>
            <w:r>
              <w:t>0.0%</w:t>
            </w:r>
          </w:p>
        </w:tc>
      </w:tr>
      <w:tr>
        <w:tc>
          <w:tcPr>
            <w:tcW w:type="dxa" w:w="2160"/>
          </w:tcPr>
          <w:p>
            <w:r>
              <w:t>家族企业治理</w:t>
            </w:r>
          </w:p>
        </w:tc>
        <w:tc>
          <w:tcPr>
            <w:tcW w:type="dxa" w:w="2160"/>
          </w:tcPr>
          <w:p>
            <w:r>
              <w:t>0.0</w:t>
            </w:r>
          </w:p>
        </w:tc>
        <w:tc>
          <w:tcPr>
            <w:tcW w:type="dxa" w:w="2160"/>
          </w:tcPr>
          <w:p>
            <w:r>
              <w:t>0.0</w:t>
            </w:r>
          </w:p>
        </w:tc>
        <w:tc>
          <w:tcPr>
            <w:tcW w:type="dxa" w:w="2160"/>
          </w:tcPr>
          <w:p>
            <w:r>
              <w:t>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标杆企业概况：</w:t>
      </w:r>
    </w:p>
    <w:p>
      <w:r>
        <w:t>在相关行业领域，标杆企业被公认为行业典范。</w:t>
      </w:r>
      <w:r>
        <w:t>这些企业在现代企业制度建设方面起步较早，制度体系相对完善，治理水平较高。</w:t>
      </w:r>
    </w:p>
    <w:p/>
    <w:p>
      <w:r>
        <w:rPr>
          <w:b/>
        </w:rPr>
        <w:t>标杆对比分析：</w:t>
      </w:r>
    </w:p>
    <w:p>
      <w:r>
        <w:t xml:space="preserve">   制度完善度：标杆企业平均完成度达96-98%，企业为0.0%，</w:t>
      </w:r>
      <w:r>
        <w:t>差距96.0个百分点</w:t>
      </w:r>
    </w:p>
    <w:p>
      <w:r>
        <w:t xml:space="preserve">   治理效率：标杆企业决策链条平均3-4层，</w:t>
      </w:r>
      <w:r>
        <w:t>企业治理流程基本规范</w:t>
      </w:r>
    </w:p>
    <w:p>
      <w:r>
        <w:t xml:space="preserve">   风险管控：标杆企业风险管控体系覆盖率达98%以上，</w:t>
      </w:r>
      <w:r>
        <w:t>企业风险管控体系有待提升</w:t>
      </w:r>
    </w:p>
    <w:p/>
    <w:p>
      <w:r>
        <w:br w:type="page"/>
      </w:r>
    </w:p>
    <w:p>
      <w:pPr>
        <w:pStyle w:val="Heading1"/>
      </w:pPr>
      <w:r>
        <w:rPr>
          <w:color w:val="2E5090"/>
        </w:rPr>
        <w:t>七、行业对比分析</w:t>
      </w:r>
    </w:p>
    <w:p>
      <w:pPr>
        <w:pStyle w:val="Heading2"/>
      </w:pPr>
      <w:r>
        <w:t>（一）相关行业行业基准对比</w:t>
      </w:r>
    </w:p>
    <w:p>
      <w:r>
        <w:rPr>
          <w:b/>
        </w:rPr>
        <w:t>行业发展态势：</w:t>
      </w:r>
    </w:p>
    <w:p>
      <w:r>
        <w:t>相关行业作为国民经济的重要组成部分，近年来保持了稳定发展态势。</w:t>
      </w:r>
      <w:r>
        <w:t>行业企业数量众多，市场竞争激烈，</w:t>
      </w:r>
      <w:r>
        <w:t>对现代企业制度建设的要求不断提高。</w:t>
      </w:r>
    </w:p>
    <w:p/>
    <w:p>
      <w:r>
        <w:rPr>
          <w:b/>
        </w:rPr>
        <w:t>综合对比分析结论：</w:t>
      </w:r>
    </w:p>
    <w:p>
      <w:r>
        <w:t>通过与相关行业行业全维度基准数据的深度对比，</w:t>
      </w:r>
      <w:r>
        <w:t>企业在多个关键维度上展现出不同的表现水平：</w:t>
      </w:r>
    </w:p>
    <w:p/>
    <w:p>
      <w:r>
        <w:rPr>
          <w:b/>
        </w:rPr>
        <w:t>改进空间（需要重点关注）：</w:t>
      </w:r>
    </w:p>
    <w:p>
      <w:r>
        <w:t xml:space="preserve">   企业得分率0.0%，</w:t>
      </w:r>
      <w:r>
        <w:t>需要系统性地提升各项制度建设水平，</w:t>
      </w:r>
      <w:r>
        <w:t>补齐短板，提升整体竞争力</w:t>
      </w:r>
    </w:p>
    <w:p/>
    <w:p>
      <w:r>
        <w:rPr>
          <w:b/>
        </w:rPr>
        <w:t>行业地位分析：</w:t>
      </w:r>
    </w:p>
    <w:p>
      <w:r>
        <w:t>企业现代企业制度建设水平在相关行业中处于中等水平，</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w:t>
      </w:r>
      <w:r>
        <w:t>设立专门的制度建设办公室，配备专职人员，</w:t>
      </w:r>
      <w:r>
        <w:t>明确各部门在制度建设中的职责分工，</w:t>
      </w:r>
      <w:r>
        <w:t>建立定期汇报和协调机制，确保各项工作有序推进。</w:t>
      </w:r>
    </w:p>
    <w:p/>
    <w:p>
      <w:pPr>
        <w:pStyle w:val="Heading2"/>
      </w:pPr>
      <w:r>
        <w:t>（二）资源配置</w:t>
      </w:r>
    </w:p>
    <w:p>
      <w:r>
        <w:rPr>
          <w:b/>
        </w:rPr>
        <w:t>合理配置资源：</w:t>
      </w:r>
    </w:p>
    <w:p>
      <w:r>
        <w:t>设立专项预算，确保制度建设资金投入；</w:t>
      </w:r>
      <w:r>
        <w:t>引进或培养专业人才，提升团队专业能力；</w:t>
      </w:r>
      <w:r>
        <w:t>采购必要的软硬件设施，支持制度数字化转型；</w:t>
      </w:r>
      <w:r>
        <w:t>必要时聘请外部专业机构提供咨询服务，</w:t>
      </w:r>
      <w:r>
        <w:t>为制度建设提供专业支持。</w:t>
      </w:r>
    </w:p>
    <w:p/>
    <w:p>
      <w:pPr>
        <w:pStyle w:val="Heading2"/>
      </w:pPr>
      <w:r>
        <w:t>（三）培训与宣贯</w:t>
      </w:r>
    </w:p>
    <w:p>
      <w:r>
        <w:rPr>
          <w:b/>
        </w:rPr>
        <w:t>加强培训宣传：</w:t>
      </w:r>
    </w:p>
    <w:p>
      <w:r>
        <w:t>开展全员制度培训，提升全体员工的制度意识；</w:t>
      </w:r>
      <w:r>
        <w:t>针对关键岗位人员进行专项培训，</w:t>
      </w:r>
      <w:r>
        <w:t>确保关键岗位人员熟练掌握相关制度；</w:t>
      </w:r>
      <w:r>
        <w:t>建立制度学习考核机制，确保培训效果；</w:t>
      </w:r>
      <w:r>
        <w:t>通过多种渠道宣传制度建设成果，</w:t>
      </w:r>
      <w:r>
        <w:t>营造良好的制度建设氛围。</w:t>
      </w:r>
    </w:p>
    <w:p/>
    <w:p>
      <w:pPr>
        <w:pStyle w:val="Heading2"/>
      </w:pPr>
      <w:r>
        <w:t>（四）监督与评估</w:t>
      </w:r>
    </w:p>
    <w:p>
      <w:r>
        <w:rPr>
          <w:b/>
        </w:rPr>
        <w:t>建立监督评估机制：</w:t>
      </w:r>
    </w:p>
    <w:p>
      <w:r>
        <w:t>建立制度执行监督机制，定期检查制度执行情况；</w:t>
      </w:r>
      <w:r>
        <w:t>设立制度建设评估指标，定期评估建设成效；</w:t>
      </w:r>
      <w:r>
        <w:t>建立问题反馈和改进机制，及时解决存在的问题；</w:t>
      </w:r>
      <w:r>
        <w:t>将制度建设纳入各级管理人员绩效考核，</w:t>
      </w:r>
      <w:r>
        <w:t>强化责任落实，确保制度建设取得实效。</w:t>
      </w:r>
    </w:p>
    <w:p/>
    <w:p>
      <w:pPr>
        <w:pStyle w:val="Heading2"/>
      </w:pPr>
      <w:r>
        <w:t>（五）持续改进</w:t>
      </w:r>
    </w:p>
    <w:p>
      <w:r>
        <w:rPr>
          <w:b/>
        </w:rPr>
        <w:t>建立持续改进机制：</w:t>
      </w:r>
    </w:p>
    <w:p>
      <w:r>
        <w:t>企业应建立制度持续改进机制，</w:t>
      </w:r>
      <w:r>
        <w:t>定期评估制度执行效果，</w:t>
      </w:r>
      <w:r>
        <w:t>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综合风险等级：较高风险</w:t>
      </w:r>
    </w:p>
    <w:p>
      <w:r>
        <w:t>通过运用现代风险管理理论和方法，采用定性与定量相结合的风险评估模型，</w:t>
      </w:r>
      <w:r>
        <w:t>对企业进行全方位风险识别、评估和分析。</w:t>
      </w:r>
      <w:r>
        <w:t>评估结果显示，企业总体风险等级为较高风险，</w:t>
      </w:r>
      <w:r>
        <w:t>综合风险得分率为0.0分（满分100分），</w:t>
      </w:r>
      <w:r>
        <w:t>风险管控能力达到相关行业基础水平。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企业在治理体系建设方面具备一定的基础，总体完成度达0.0%，在相关行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短期内企业治理完成度预计提升至5%以上。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企业治理完成度达到10%以上。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达到相关行业领先的治理水平，成为同行业治理标杆，具备对外输出治理经验的能力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成为相关行业治理标杆企业，为企业高质量发展提供坚强保障。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21:41:27</w:t>
      </w:r>
    </w:p>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0.0</w:t>
            </w:r>
          </w:p>
        </w:tc>
        <w:tc>
          <w:tcPr>
            <w:tcW w:type="dxa" w:w="1234"/>
          </w:tcPr>
          <w:p>
            <w:r>
              <w:t>{"mode":"proportional","base":1,"total":2,"selected":["1","2"],"score":1}</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0.0</w:t>
            </w:r>
          </w:p>
        </w:tc>
        <w:tc>
          <w:tcPr>
            <w:tcW w:type="dxa" w:w="1234"/>
          </w:tcPr>
          <w:p>
            <w:r>
              <w:t>{"mode":"all_or_nothing","base":1,"total":4,"selected":["1","2","3"],"score":0}</w:t>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企业是否实施员工持股计划？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76</w:t>
            </w:r>
          </w:p>
        </w:tc>
        <w:tc>
          <w:tcPr>
            <w:tcW w:type="dxa" w:w="1234"/>
          </w:tcPr>
          <w:p>
            <w:r>
              <w:t>公司经理是否对董事会负责？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122</w:t>
            </w:r>
          </w:p>
        </w:tc>
        <w:tc>
          <w:tcPr>
            <w:tcW w:type="dxa" w:w="1234"/>
          </w:tcPr>
          <w:p>
            <w:r>
              <w:t>是否聘请独立审计机构进行年度审计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169</w:t>
            </w:r>
          </w:p>
        </w:tc>
        <w:tc>
          <w:tcPr>
            <w:tcW w:type="dxa" w:w="1234"/>
          </w:tcPr>
          <w:p>
            <w:r>
              <w:t>是否按时足额缴纳税款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174</w:t>
            </w:r>
          </w:p>
        </w:tc>
        <w:tc>
          <w:tcPr>
            <w:tcW w:type="dxa" w:w="1234"/>
          </w:tcPr>
          <w:p>
            <w:r>
              <w:t>是否通过环境管理体系认证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175</w:t>
            </w:r>
          </w:p>
        </w:tc>
        <w:tc>
          <w:tcPr>
            <w:tcW w:type="dxa" w:w="1234"/>
          </w:tcPr>
          <w:p>
            <w:r>
              <w:t>是否发生环境事故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214</w:t>
            </w:r>
          </w:p>
        </w:tc>
        <w:tc>
          <w:tcPr>
            <w:tcW w:type="dxa" w:w="1234"/>
          </w:tcPr>
          <w:p>
            <w:r>
              <w:t>是否设立家族信托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218</w:t>
            </w:r>
          </w:p>
        </w:tc>
        <w:tc>
          <w:tcPr>
            <w:tcW w:type="dxa" w:w="1234"/>
          </w:tcPr>
          <w:p>
            <w:r>
              <w:t>是否有应对企业家突发情况的预案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232</w:t>
            </w:r>
          </w:p>
        </w:tc>
        <w:tc>
          <w:tcPr>
            <w:tcW w:type="dxa" w:w="1234"/>
          </w:tcPr>
          <w:p>
            <w:r>
              <w:t>是否有成文的家训或家风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