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企业名称：测试科技股份有限公司</w:t>
      </w:r>
    </w:p>
    <w:p>
      <w:pPr>
        <w:jc w:val="center"/>
      </w:pPr>
      <w:r>
        <w:rPr>
          <w:sz w:val="28"/>
        </w:rPr>
        <w:t>评价级别：初级</w:t>
      </w:r>
    </w:p>
    <w:p>
      <w:pPr>
        <w:jc w:val="center"/>
      </w:pPr>
      <w:r>
        <w:rPr>
          <w:b/>
          <w:color w:val="2E5090"/>
          <w:sz w:val="36"/>
        </w:rPr>
        <w:t>综合得分：68.20分</w:t>
      </w:r>
    </w:p>
    <w:p>
      <w:pPr>
        <w:jc w:val="center"/>
      </w:pPr>
      <w:r>
        <w:rPr>
          <w:sz w:val="24"/>
        </w:rPr>
        <w:t>生成日期：2025年12月02日</w:t>
      </w:r>
    </w:p>
    <w:p>
      <w:r>
        <w:br w:type="page"/>
      </w:r>
    </w:p>
    <w:p>
      <w:pPr>
        <w:pStyle w:val="Heading1"/>
      </w:pPr>
      <w:r>
        <w:rPr>
          <w:color w:val="2E5090"/>
        </w:rPr>
        <w:t>执行摘要</w:t>
      </w:r>
    </w:p>
    <w:p>
      <w:r>
        <w:rPr>
          <w:b/>
        </w:rPr>
        <w:t>一、评价结论</w:t>
        <w:br/>
      </w:r>
      <w:r>
        <w:t>根据南开大学现代企业制度指数评价体系（初级）的评价结果，</w:t>
      </w:r>
      <w:r>
        <w:t>测试科技股份有限公司的综合得分为</w:t>
      </w:r>
      <w:r>
        <w:rPr>
          <w:b/>
          <w:color w:val="FF9800"/>
        </w:rPr>
        <w:t>68.2分</w:t>
      </w:r>
      <w:r>
        <w:t>（实际得分58.4分，满分85.6分），</w:t>
      </w:r>
      <w:r>
        <w:t>评价等级为</w:t>
      </w:r>
      <w:r>
        <w:rPr>
          <w:b/>
        </w:rPr>
        <w:t>及格</w:t>
      </w:r>
      <w:r>
        <w:t>。企业现代制度建设有待提升，</w:t>
      </w:r>
      <w:r>
        <w:t>各项制度体系建设总体呈现持续改进的良好态势。</w:t>
      </w:r>
    </w:p>
    <w:p/>
    <w:p>
      <w:r>
        <w:rPr>
          <w:b/>
        </w:rPr>
        <w:t>二、企业概况</w:t>
        <w:br/>
      </w:r>
      <w:r>
        <w:t>测试科技股份有限公司是一家中型规模企业，成立8年，</w:t>
      </w:r>
      <w:r>
        <w:t>主要从事软件和信息技术服务业相关业务。</w:t>
      </w:r>
      <w:r>
        <w:t>企业自成立以来，始终坚持规范化经营理念，</w:t>
      </w:r>
      <w:r>
        <w:t>积极推进现代企业制度建设，</w:t>
      </w:r>
      <w:r>
        <w:t>在公司治理、内部控制、风险管理等方面持续完善，</w:t>
      </w:r>
      <w:r>
        <w:t>为企业的可持续发展奠定了坚实的制度基础。</w:t>
      </w:r>
    </w:p>
    <w:p/>
    <w:p>
      <w:r>
        <w:rPr>
          <w:b/>
        </w:rPr>
        <w:t>三、评价亮点</w:t>
        <w:br/>
      </w:r>
      <w:r>
        <w:t>本次评价中，测试科技股份有限公司在以下方面表现突出：</w:t>
        <w:br/>
      </w:r>
    </w:p>
    <w:p>
      <w:pPr>
        <w:pStyle w:val="ListNumber"/>
      </w:pPr>
      <w:r>
        <w:rPr>
          <w:b/>
        </w:rPr>
        <w:t>治理规范性：</w:t>
      </w:r>
      <w:r>
        <w:t>得分率达到100.0%，</w:t>
      </w:r>
      <w:r>
        <w:t>显著高于平均水平。</w:t>
      </w:r>
      <w:r>
        <w:t>该维度的优异表现体现了企业在治理规范性方面的制度建设水平较高，</w:t>
      </w:r>
      <w:r>
        <w:t>相关制度健全完善，执行情况良好，</w:t>
      </w:r>
      <w:r>
        <w:t>为企业的规范化运营提供了有力保障。</w:t>
      </w:r>
    </w:p>
    <w:p>
      <w:pPr>
        <w:pStyle w:val="ListNumber"/>
      </w:pPr>
      <w:r>
        <w:rPr>
          <w:b/>
        </w:rPr>
        <w:t>治理有效性：</w:t>
      </w:r>
      <w:r>
        <w:t>得分率达到100.0%，</w:t>
      </w:r>
      <w:r>
        <w:t>显著高于平均水平。</w:t>
      </w:r>
      <w:r>
        <w:t>该维度的优异表现体现了企业在治理有效性方面的制度建设水平较高，</w:t>
      </w:r>
      <w:r>
        <w:t>相关制度健全完善，执行情况良好，</w:t>
      </w:r>
      <w:r>
        <w:t>为企业的规范化运营提供了有力保障。</w:t>
      </w:r>
    </w:p>
    <w:p>
      <w:pPr>
        <w:pStyle w:val="ListNumber"/>
      </w:pPr>
      <w:r>
        <w:rPr>
          <w:b/>
        </w:rPr>
        <w:t>治理安全性：</w:t>
      </w:r>
      <w:r>
        <w:t>得分率达到88.3%，</w:t>
      </w:r>
      <w:r>
        <w:t>显著高于平均水平。</w:t>
      </w:r>
      <w:r>
        <w:t>该维度的优异表现体现了企业在治理安全性方面的制度建设水平较高，</w:t>
      </w:r>
      <w:r>
        <w:t>相关制度健全完善，执行情况良好，</w:t>
      </w:r>
      <w:r>
        <w:t>为企业的规范化运营提供了有力保障。</w:t>
      </w:r>
    </w:p>
    <w:p/>
    <w:p>
      <w:r>
        <w:rPr>
          <w:b/>
        </w:rPr>
        <w:t>四、存在问题</w:t>
        <w:br/>
      </w:r>
      <w:r>
        <w:t>评价结果显示，测试科技股份有限公司在以下方面仍存在改进空间：</w:t>
        <w:br/>
      </w:r>
    </w:p>
    <w:p>
      <w:pPr>
        <w:pStyle w:val="ListNumber"/>
      </w:pPr>
      <w:r>
        <w:rPr>
          <w:b/>
        </w:rPr>
        <w:t>治理方向性有待加强：</w:t>
      </w:r>
      <w:r>
        <w:t>该维度得分率为0.0%，</w:t>
      </w:r>
      <w:r>
        <w:t>低于整体平均水平。</w:t>
      </w:r>
      <w:r>
        <w:t>建议企业重点关注治理方向性相关制度的建立和完善，</w:t>
      </w:r>
      <w:r>
        <w:t>系统性地梳理现有制度，补齐短板，</w:t>
      </w:r>
      <w:r>
        <w:t>提升该领域的制度化管理水平。</w:t>
      </w:r>
    </w:p>
    <w:p>
      <w:pPr>
        <w:pStyle w:val="ListNumber"/>
      </w:pPr>
      <w:r>
        <w:rPr>
          <w:b/>
        </w:rPr>
        <w:t>治理科学性有待加强：</w:t>
      </w:r>
      <w:r>
        <w:t>该维度得分率为0.0%，</w:t>
      </w:r>
      <w:r>
        <w:t>低于整体平均水平。</w:t>
      </w:r>
      <w:r>
        <w:t>建议企业重点关注治理科学性相关制度的建立和完善，</w:t>
      </w:r>
      <w:r>
        <w:t>系统性地梳理现有制度，补齐短板，</w:t>
      </w:r>
      <w:r>
        <w:t>提升该领域的制度化管理水平。</w:t>
      </w:r>
    </w:p>
    <w:p/>
    <w:p>
      <w:r>
        <w:rPr>
          <w:b/>
        </w:rPr>
        <w:t>五、总体建议</w:t>
        <w:br/>
      </w:r>
      <w:r>
        <w:t>测试科技股份有限公司已建立基本的制度框架，</w:t>
      </w:r>
      <w:r>
        <w:t>建议系统梳理现有制度，补齐短板，</w:t>
      </w:r>
      <w:r>
        <w:t>加强制度培训和执行监督，</w:t>
      </w:r>
      <w:r>
        <w:t>提升整体制度化管理水平。</w:t>
      </w:r>
    </w:p>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测试科技股份有限公司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软件和信息技术服务业</w:t>
            </w:r>
          </w:p>
        </w:tc>
      </w:tr>
      <w:tr>
        <w:tc>
          <w:tcPr>
            <w:tcW w:type="dxa" w:w="4320"/>
          </w:tcPr>
          <w:p>
            <w:r>
              <w:t>企业规模</w:t>
            </w:r>
          </w:p>
        </w:tc>
        <w:tc>
          <w:tcPr>
            <w:tcW w:type="dxa" w:w="4320"/>
          </w:tcPr>
          <w:p>
            <w:r>
              <w:t>中型</w:t>
            </w:r>
          </w:p>
        </w:tc>
      </w:tr>
    </w:tbl>
    <w:p/>
    <w:p>
      <w:pPr>
        <w:pStyle w:val="Heading1"/>
      </w:pPr>
      <w:r>
        <w:rPr>
          <w:color w:val="2E5090"/>
        </w:rPr>
        <w:t>二、评价总览</w:t>
      </w:r>
    </w:p>
    <w:p>
      <w:r>
        <w:rPr>
          <w:b/>
        </w:rPr>
        <w:t>评价结果：</w:t>
      </w:r>
      <w:r>
        <w:t>贵企业在初级问卷评价中，</w:t>
      </w:r>
      <w:r>
        <w:t>实际得分58.38分，满分85.60分，</w:t>
      </w:r>
      <w:r>
        <w:t>百分制得分为68.20分。</w:t>
      </w:r>
    </w:p>
    <w:p>
      <w:r>
        <w:rPr>
          <w:b/>
        </w:rPr>
        <w:t>评价等级：</w:t>
      </w:r>
      <w:r>
        <w:rPr>
          <w:b/>
          <w:color w:val="2E5090"/>
        </w:rPr>
        <w:t>及格</w:t>
      </w:r>
    </w:p>
    <w:p>
      <w:r>
        <w:rPr>
          <w:b/>
        </w:rPr>
        <w:t>总体评价：</w:t>
      </w:r>
      <w:r>
        <w:t>企业现代制度建设有待提升，需要加强制度建设和执行力度。</w:t>
      </w:r>
    </w:p>
    <w:p/>
    <w:p>
      <w:pPr>
        <w:pStyle w:val="Heading1"/>
      </w:pPr>
      <w:r>
        <w:rPr>
          <w:color w:val="2E5090"/>
        </w:rPr>
        <w:t>三、各维度详细分析</w:t>
      </w:r>
    </w:p>
    <w:p>
      <w:pPr>
        <w:pStyle w:val="Heading2"/>
      </w:pPr>
      <w:r>
        <w:t>治理方向性</w:t>
      </w:r>
    </w:p>
    <w:p>
      <w:r>
        <w:rPr>
          <w:b/>
        </w:rPr>
        <w:t>维度得分：0.00/1.00分（0.0%）</w:t>
      </w:r>
    </w:p>
    <w:p>
      <w:r>
        <w:t>完成情况：已完成0项，部分完成0项，未完成1项</w:t>
      </w:r>
    </w:p>
    <w:p/>
    <w:p>
      <w:pPr>
        <w:pStyle w:val="Heading2"/>
      </w:pPr>
      <w:r>
        <w:t>治理规范性</w:t>
      </w:r>
    </w:p>
    <w:p>
      <w:r>
        <w:rPr>
          <w:b/>
        </w:rPr>
        <w:t>维度得分：2.00/2.00分（100.0%）</w:t>
      </w:r>
    </w:p>
    <w:p>
      <w:r>
        <w:t>完成情况：已完成1项，部分完成0项，未完成0项</w:t>
      </w:r>
    </w:p>
    <w:p/>
    <w:p>
      <w:pPr>
        <w:pStyle w:val="Heading2"/>
      </w:pPr>
      <w:r>
        <w:t>治理安全性</w:t>
      </w:r>
    </w:p>
    <w:p>
      <w:r>
        <w:rPr>
          <w:b/>
        </w:rPr>
        <w:t>维度得分：1.06/1.20分（88.3%）</w:t>
      </w:r>
    </w:p>
    <w:p>
      <w:r>
        <w:t>完成情况：已完成0项，部分完成1项，未完成0项</w:t>
      </w:r>
    </w:p>
    <w:p/>
    <w:p>
      <w:pPr>
        <w:pStyle w:val="Heading2"/>
      </w:pPr>
      <w:r>
        <w:t>治理科学性</w:t>
      </w:r>
    </w:p>
    <w:p>
      <w:r>
        <w:rPr>
          <w:b/>
        </w:rPr>
        <w:t>维度得分：0.00/1.00分（0.0%）</w:t>
      </w:r>
    </w:p>
    <w:p>
      <w:r>
        <w:t>完成情况：已完成0项，部分完成0项，未完成1项</w:t>
      </w:r>
    </w:p>
    <w:p/>
    <w:p>
      <w:pPr>
        <w:pStyle w:val="Heading2"/>
      </w:pPr>
      <w:r>
        <w:t>治理社会性</w:t>
      </w:r>
    </w:p>
    <w:p>
      <w:r>
        <w:rPr>
          <w:b/>
        </w:rPr>
        <w:t>维度得分：1.76/2.00分（88.0%）</w:t>
      </w:r>
    </w:p>
    <w:p>
      <w:r>
        <w:t>完成情况：已完成0项，部分完成1项，未完成0项</w:t>
      </w:r>
    </w:p>
    <w:p/>
    <w:p>
      <w:pPr>
        <w:pStyle w:val="Heading2"/>
      </w:pPr>
      <w:r>
        <w:t>治理有效性</w:t>
      </w:r>
    </w:p>
    <w:p>
      <w:r>
        <w:rPr>
          <w:b/>
        </w:rPr>
        <w:t>维度得分：1.00/1.00分（100.0%）</w:t>
      </w:r>
    </w:p>
    <w:p>
      <w:r>
        <w:t>完成情况：已完成1项，部分完成0项，未完成0项</w:t>
      </w:r>
    </w:p>
    <w:p/>
    <w:p>
      <w:pPr>
        <w:pStyle w:val="Heading1"/>
      </w:pPr>
      <w:r>
        <w:rPr>
          <w:color w:val="2E5090"/>
        </w:rPr>
        <w:t>四、优势与不足</w:t>
      </w:r>
    </w:p>
    <w:p>
      <w:pPr>
        <w:pStyle w:val="Heading2"/>
      </w:pPr>
      <w:r>
        <w:t>（一）主要优势</w:t>
      </w:r>
    </w:p>
    <w:p>
      <w:r>
        <w:t>贵企业在以下方面表现优秀：</w:t>
      </w:r>
    </w:p>
    <w:p>
      <w:pPr>
        <w:pStyle w:val="ListBullet"/>
      </w:pPr>
      <w:r>
        <w:t>执行党的组织生活制度</w:t>
      </w:r>
    </w:p>
    <w:p>
      <w:pPr>
        <w:pStyle w:val="ListBullet"/>
      </w:pPr>
      <w:r>
        <w:t>保障党组织活活动经费和场所</w:t>
      </w:r>
    </w:p>
    <w:p>
      <w:pPr>
        <w:pStyle w:val="ListBullet"/>
      </w:pPr>
      <w:r>
        <w:t>社会主义核心价值体系引领</w:t>
      </w:r>
    </w:p>
    <w:p>
      <w:pPr>
        <w:pStyle w:val="ListBullet"/>
      </w:pPr>
      <w:r>
        <w:t>企业文化融入管理经营全过程</w:t>
      </w:r>
    </w:p>
    <w:p>
      <w:pPr>
        <w:pStyle w:val="ListBullet"/>
      </w:pPr>
      <w:r>
        <w:t>产权归属清晰</w:t>
      </w:r>
    </w:p>
    <w:p>
      <w:pPr>
        <w:pStyle w:val="ListBullet"/>
      </w:pPr>
      <w:r>
        <w:t>产权流转顺畅</w:t>
      </w:r>
    </w:p>
    <w:p>
      <w:pPr>
        <w:pStyle w:val="ListBullet"/>
      </w:pPr>
      <w:r>
        <w:t>企业财产边界清晰</w:t>
      </w:r>
    </w:p>
    <w:p>
      <w:pPr>
        <w:pStyle w:val="ListBullet"/>
      </w:pPr>
      <w:r>
        <w:t>会计制度与财务管理</w:t>
      </w:r>
    </w:p>
    <w:p>
      <w:pPr>
        <w:pStyle w:val="ListBullet"/>
      </w:pPr>
      <w:r>
        <w:t>股东会职权</w:t>
      </w:r>
    </w:p>
    <w:p>
      <w:pPr>
        <w:pStyle w:val="ListBullet"/>
      </w:pPr>
      <w:r>
        <w:t>发挥章程在公司治理中的作用</w:t>
      </w:r>
    </w:p>
    <w:p>
      <w:pPr>
        <w:pStyle w:val="Heading2"/>
      </w:pPr>
      <w:r>
        <w:t>（二）主要不足</w:t>
      </w:r>
    </w:p>
    <w:p>
      <w:r>
        <w:t>贵企业在以下方面需要改进：</w:t>
      </w:r>
    </w:p>
    <w:p>
      <w:pPr>
        <w:pStyle w:val="ListBullet"/>
      </w:pPr>
      <w:r>
        <w:t>规范党组织建设</w:t>
      </w:r>
    </w:p>
    <w:p>
      <w:pPr>
        <w:pStyle w:val="ListBullet"/>
      </w:pPr>
      <w:r>
        <w:t>中华传统文化融入企业管理实践</w:t>
      </w:r>
    </w:p>
    <w:p>
      <w:pPr>
        <w:pStyle w:val="ListBullet"/>
      </w:pPr>
      <w:r>
        <w:t>股权结构简明、清晰、可穿透</w:t>
      </w:r>
    </w:p>
    <w:p>
      <w:pPr>
        <w:pStyle w:val="ListBullet"/>
      </w:pPr>
      <w:r>
        <w:t>自主选择组织形式</w:t>
      </w:r>
    </w:p>
    <w:p>
      <w:pPr>
        <w:pStyle w:val="ListBullet"/>
      </w:pPr>
      <w:r>
        <w:t>董事会职权</w:t>
      </w:r>
    </w:p>
    <w:p>
      <w:pPr>
        <w:pStyle w:val="ListBullet"/>
      </w:pPr>
      <w:r>
        <w:t>监事选聘和监事会运行</w:t>
      </w:r>
    </w:p>
    <w:p>
      <w:pPr>
        <w:pStyle w:val="ListBullet"/>
      </w:pPr>
      <w:r>
        <w:t>内部审计与外部审计</w:t>
      </w:r>
    </w:p>
    <w:p>
      <w:pPr>
        <w:pStyle w:val="ListBullet"/>
      </w:pPr>
      <w:r>
        <w:t>服务国家战略与新发展格局</w:t>
      </w:r>
    </w:p>
    <w:p>
      <w:pPr>
        <w:pStyle w:val="ListBullet"/>
      </w:pPr>
      <w:r>
        <w:t>战略执行与监督</w:t>
      </w:r>
    </w:p>
    <w:p>
      <w:pPr>
        <w:pStyle w:val="ListBullet"/>
      </w:pPr>
      <w:r>
        <w:t>供应商管理</w:t>
      </w:r>
    </w:p>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治理方向性</w:t>
            </w:r>
          </w:p>
        </w:tc>
        <w:tc>
          <w:tcPr>
            <w:tcW w:type="dxa" w:w="2160"/>
          </w:tcPr>
          <w:p>
            <w:r>
              <w:t>1.0</w:t>
            </w:r>
          </w:p>
        </w:tc>
        <w:tc>
          <w:tcPr>
            <w:tcW w:type="dxa" w:w="2160"/>
          </w:tcPr>
          <w:p>
            <w:r>
              <w:t>0.0</w:t>
            </w:r>
          </w:p>
        </w:tc>
        <w:tc>
          <w:tcPr>
            <w:tcW w:type="dxa" w:w="2160"/>
          </w:tcPr>
          <w:p>
            <w:r>
              <w:t>0.0%</w:t>
            </w:r>
          </w:p>
        </w:tc>
      </w:tr>
      <w:tr>
        <w:tc>
          <w:tcPr>
            <w:tcW w:type="dxa" w:w="2160"/>
          </w:tcPr>
          <w:p>
            <w:r>
              <w:t>治理规范性</w:t>
            </w:r>
          </w:p>
        </w:tc>
        <w:tc>
          <w:tcPr>
            <w:tcW w:type="dxa" w:w="2160"/>
          </w:tcPr>
          <w:p>
            <w:r>
              <w:t>2.0</w:t>
            </w:r>
          </w:p>
        </w:tc>
        <w:tc>
          <w:tcPr>
            <w:tcW w:type="dxa" w:w="2160"/>
          </w:tcPr>
          <w:p>
            <w:r>
              <w:t>2.0</w:t>
            </w:r>
          </w:p>
        </w:tc>
        <w:tc>
          <w:tcPr>
            <w:tcW w:type="dxa" w:w="2160"/>
          </w:tcPr>
          <w:p>
            <w:r>
              <w:t>100.0%</w:t>
            </w:r>
          </w:p>
        </w:tc>
      </w:tr>
      <w:tr>
        <w:tc>
          <w:tcPr>
            <w:tcW w:type="dxa" w:w="2160"/>
          </w:tcPr>
          <w:p>
            <w:r>
              <w:t>治理安全性</w:t>
            </w:r>
          </w:p>
        </w:tc>
        <w:tc>
          <w:tcPr>
            <w:tcW w:type="dxa" w:w="2160"/>
          </w:tcPr>
          <w:p>
            <w:r>
              <w:t>1.2</w:t>
            </w:r>
          </w:p>
        </w:tc>
        <w:tc>
          <w:tcPr>
            <w:tcW w:type="dxa" w:w="2160"/>
          </w:tcPr>
          <w:p>
            <w:r>
              <w:t>1.1</w:t>
            </w:r>
          </w:p>
        </w:tc>
        <w:tc>
          <w:tcPr>
            <w:tcW w:type="dxa" w:w="2160"/>
          </w:tcPr>
          <w:p>
            <w:r>
              <w:t>88.3%</w:t>
            </w:r>
          </w:p>
        </w:tc>
      </w:tr>
      <w:tr>
        <w:tc>
          <w:tcPr>
            <w:tcW w:type="dxa" w:w="2160"/>
          </w:tcPr>
          <w:p>
            <w:r>
              <w:t>治理科学性</w:t>
            </w:r>
          </w:p>
        </w:tc>
        <w:tc>
          <w:tcPr>
            <w:tcW w:type="dxa" w:w="2160"/>
          </w:tcPr>
          <w:p>
            <w:r>
              <w:t>1.0</w:t>
            </w:r>
          </w:p>
        </w:tc>
        <w:tc>
          <w:tcPr>
            <w:tcW w:type="dxa" w:w="2160"/>
          </w:tcPr>
          <w:p>
            <w:r>
              <w:t>0.0</w:t>
            </w:r>
          </w:p>
        </w:tc>
        <w:tc>
          <w:tcPr>
            <w:tcW w:type="dxa" w:w="2160"/>
          </w:tcPr>
          <w:p>
            <w:r>
              <w:t>0.0%</w:t>
            </w:r>
          </w:p>
        </w:tc>
      </w:tr>
      <w:tr>
        <w:tc>
          <w:tcPr>
            <w:tcW w:type="dxa" w:w="2160"/>
          </w:tcPr>
          <w:p>
            <w:r>
              <w:t>治理社会性</w:t>
            </w:r>
          </w:p>
        </w:tc>
        <w:tc>
          <w:tcPr>
            <w:tcW w:type="dxa" w:w="2160"/>
          </w:tcPr>
          <w:p>
            <w:r>
              <w:t>2.0</w:t>
            </w:r>
          </w:p>
        </w:tc>
        <w:tc>
          <w:tcPr>
            <w:tcW w:type="dxa" w:w="2160"/>
          </w:tcPr>
          <w:p>
            <w:r>
              <w:t>1.8</w:t>
            </w:r>
          </w:p>
        </w:tc>
        <w:tc>
          <w:tcPr>
            <w:tcW w:type="dxa" w:w="2160"/>
          </w:tcPr>
          <w:p>
            <w:r>
              <w:t>88.0%</w:t>
            </w:r>
          </w:p>
        </w:tc>
      </w:tr>
      <w:tr>
        <w:tc>
          <w:tcPr>
            <w:tcW w:type="dxa" w:w="2160"/>
          </w:tcPr>
          <w:p>
            <w:r>
              <w:t>治理有效性</w:t>
            </w:r>
          </w:p>
        </w:tc>
        <w:tc>
          <w:tcPr>
            <w:tcW w:type="dxa" w:w="2160"/>
          </w:tcPr>
          <w:p>
            <w:r>
              <w:t>1.0</w:t>
            </w:r>
          </w:p>
        </w:tc>
        <w:tc>
          <w:tcPr>
            <w:tcW w:type="dxa" w:w="2160"/>
          </w:tcPr>
          <w:p>
            <w:r>
              <w:t>1.0</w:t>
            </w:r>
          </w:p>
        </w:tc>
        <w:tc>
          <w:tcPr>
            <w:tcW w:type="dxa" w:w="2160"/>
          </w:tcPr>
          <w:p>
            <w:r>
              <w:t>100.0%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标杆企业定义：</w:t>
      </w:r>
    </w:p>
    <w:p>
      <w:r>
        <w:t>在软件和信息技术服务业中，标杆企业通常具备以下特征：</w:t>
      </w:r>
    </w:p>
    <w:p>
      <w:pPr>
        <w:pStyle w:val="ListBullet"/>
      </w:pPr>
      <w:r>
        <w:t>现代企业制度健全完善，治理结构科学合理</w:t>
      </w:r>
    </w:p>
    <w:p>
      <w:pPr>
        <w:pStyle w:val="ListBullet"/>
      </w:pPr>
      <w:r>
        <w:t>内部控制体系完整有效，风险管理能力突出</w:t>
      </w:r>
    </w:p>
    <w:p>
      <w:pPr>
        <w:pStyle w:val="ListBullet"/>
      </w:pPr>
      <w:r>
        <w:t>信息披露规范透明，利益相关方沟通顺畅</w:t>
      </w:r>
    </w:p>
    <w:p>
      <w:pPr>
        <w:pStyle w:val="ListBullet"/>
      </w:pPr>
      <w:r>
        <w:t>持续创新能力强，市场竞争力领先</w:t>
      </w:r>
    </w:p>
    <w:p>
      <w:pPr>
        <w:pStyle w:val="ListBullet"/>
      </w:pPr>
      <w:r>
        <w:t>社会责任意识强，可持续发展能力突出</w:t>
      </w:r>
    </w:p>
    <w:p/>
    <w:p>
      <w:pPr>
        <w:pStyle w:val="Heading2"/>
      </w:pPr>
      <w:r>
        <w:t>（二）对标分析</w:t>
      </w:r>
    </w:p>
    <w:p>
      <w:r>
        <w:rPr>
          <w:b/>
        </w:rPr>
        <w:t>综合对比：</w:t>
      </w:r>
    </w:p>
    <w:p>
      <w:r>
        <w:t>测试科技股份有限公司的现代企业制度建设水平与行业标杆存在较大差距，需要系统性地提升各项制度建设水平。</w:t>
      </w:r>
    </w:p>
    <w:p/>
    <w:p>
      <w:pPr>
        <w:pStyle w:val="Heading2"/>
      </w:pPr>
      <w:r>
        <w:t>（三）提升路径</w:t>
      </w:r>
    </w:p>
    <w:p>
      <w:r>
        <w:rPr>
          <w:b/>
        </w:rPr>
        <w:t>向标杆企业学习的重点方向：</w:t>
      </w:r>
    </w:p>
    <w:p>
      <w:pPr>
        <w:pStyle w:val="ListNumber"/>
      </w:pPr>
      <w:r>
        <w:t>完善治理结构：学习标杆企业的治理架构设计，优化决策机制</w:t>
      </w:r>
    </w:p>
    <w:p>
      <w:pPr>
        <w:pStyle w:val="ListNumber"/>
      </w:pPr>
      <w:r>
        <w:t>强化内控体系：借鉴标杆企业的内控经验，提升风险管理能力</w:t>
      </w:r>
    </w:p>
    <w:p>
      <w:pPr>
        <w:pStyle w:val="ListNumber"/>
      </w:pPr>
      <w:r>
        <w:t>提升透明度：参考标杆企业的信息披露实践，增强透明度</w:t>
      </w:r>
    </w:p>
    <w:p>
      <w:pPr>
        <w:pStyle w:val="ListNumber"/>
      </w:pPr>
      <w:r>
        <w:t>创新驱动发展：学习标杆企业的创新机制，提升核心竞争力</w:t>
      </w:r>
    </w:p>
    <w:p>
      <w:pPr>
        <w:pStyle w:val="ListNumber"/>
      </w:pPr>
      <w:r>
        <w:t>履行社会责任：借鉴标杆企业的社会责任实践，提升企业形象</w:t>
      </w:r>
    </w:p>
    <w:p/>
    <w:p>
      <w:r>
        <w:br w:type="page"/>
      </w:r>
    </w:p>
    <w:p>
      <w:pPr>
        <w:pStyle w:val="Heading1"/>
      </w:pPr>
      <w:r>
        <w:rPr>
          <w:color w:val="2E5090"/>
        </w:rPr>
        <w:t>七、行业对比分析</w:t>
      </w:r>
    </w:p>
    <w:p>
      <w:pPr>
        <w:pStyle w:val="Heading2"/>
      </w:pPr>
      <w:r>
        <w:t>（一）行业基准对比</w:t>
      </w:r>
    </w:p>
    <w:p>
      <w:r>
        <w:rPr>
          <w:b/>
        </w:rPr>
        <w:t>行业发展态势：</w:t>
      </w:r>
    </w:p>
    <w:p>
      <w:r>
        <w:t>软件和信息技术服务业作为重要的经济组成部分，近年来保持了稳定发展态势。</w:t>
      </w:r>
      <w:r>
        <w:t>行业企业数量众多，市场竞争激烈，对现代企业制度建设的要求不断提高。</w:t>
      </w:r>
    </w:p>
    <w:p/>
    <w:p>
      <w:r>
        <w:rPr>
          <w:b/>
        </w:rPr>
        <w:t>综合对比分析结论：</w:t>
      </w:r>
    </w:p>
    <w:p>
      <w:r>
        <w:t>测试科技股份有限公司的制度建设水平有待提升，需要系统性地完善各项制度。</w:t>
      </w:r>
    </w:p>
    <w:p/>
    <w:p>
      <w:r>
        <w:rPr>
          <w:b/>
        </w:rPr>
        <w:t>行业地位分析：</w:t>
      </w:r>
    </w:p>
    <w:p>
      <w:r>
        <w:t>测试科技股份有限公司现代企业制度建设水平在软件和信息技术服务业中处于有待提升，</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pPr>
        <w:pStyle w:val="ListBullet"/>
      </w:pPr>
      <w:r>
        <w:t>成立由企业高层领导牵头的现代企业制度建设领导小组</w:t>
      </w:r>
    </w:p>
    <w:p>
      <w:pPr>
        <w:pStyle w:val="ListBullet"/>
      </w:pPr>
      <w:r>
        <w:t>设立专门的制度建设办公室，配备专职人员</w:t>
      </w:r>
    </w:p>
    <w:p>
      <w:pPr>
        <w:pStyle w:val="ListBullet"/>
      </w:pPr>
      <w:r>
        <w:t>明确各部门在制度建设中的职责分工</w:t>
      </w:r>
    </w:p>
    <w:p>
      <w:pPr>
        <w:pStyle w:val="ListBullet"/>
      </w:pPr>
      <w:r>
        <w:t>建立定期汇报和协调机制，确保工作推进</w:t>
      </w:r>
    </w:p>
    <w:p/>
    <w:p>
      <w:pPr>
        <w:pStyle w:val="Heading2"/>
      </w:pPr>
      <w:r>
        <w:t>（二）资源配置</w:t>
      </w:r>
    </w:p>
    <w:p>
      <w:r>
        <w:rPr>
          <w:b/>
        </w:rPr>
        <w:t>合理配置资源：</w:t>
      </w:r>
    </w:p>
    <w:p>
      <w:pPr>
        <w:pStyle w:val="ListBullet"/>
      </w:pPr>
      <w:r>
        <w:t>设立专项预算，确保制度建设资金投入</w:t>
      </w:r>
    </w:p>
    <w:p>
      <w:pPr>
        <w:pStyle w:val="ListBullet"/>
      </w:pPr>
      <w:r>
        <w:t>引进或培养专业人才，提升团队专业能力</w:t>
      </w:r>
    </w:p>
    <w:p>
      <w:pPr>
        <w:pStyle w:val="ListBullet"/>
      </w:pPr>
      <w:r>
        <w:t>采购必要的软硬件设施，支持制度数字化</w:t>
      </w:r>
    </w:p>
    <w:p>
      <w:pPr>
        <w:pStyle w:val="ListBullet"/>
      </w:pPr>
      <w:r>
        <w:t>必要时聘请外部专业机构提供咨询服务</w:t>
      </w:r>
    </w:p>
    <w:p/>
    <w:p>
      <w:pPr>
        <w:pStyle w:val="Heading2"/>
      </w:pPr>
      <w:r>
        <w:t>（三）培训与宣贯</w:t>
      </w:r>
    </w:p>
    <w:p>
      <w:r>
        <w:rPr>
          <w:b/>
        </w:rPr>
        <w:t>加强培训宣传：</w:t>
      </w:r>
    </w:p>
    <w:p>
      <w:pPr>
        <w:pStyle w:val="ListBullet"/>
      </w:pPr>
      <w:r>
        <w:t>开展全员制度培训，提升制度意识</w:t>
      </w:r>
    </w:p>
    <w:p>
      <w:pPr>
        <w:pStyle w:val="ListBullet"/>
      </w:pPr>
      <w:r>
        <w:t>针对关键岗位人员进行专项培训</w:t>
      </w:r>
    </w:p>
    <w:p>
      <w:pPr>
        <w:pStyle w:val="ListBullet"/>
      </w:pPr>
      <w:r>
        <w:t>建立制度学习考核机制，确保培训效果</w:t>
      </w:r>
    </w:p>
    <w:p>
      <w:pPr>
        <w:pStyle w:val="ListBullet"/>
      </w:pPr>
      <w:r>
        <w:t>通过多种渠道宣传制度建设成果，营造良好氛围</w:t>
      </w:r>
    </w:p>
    <w:p/>
    <w:p>
      <w:pPr>
        <w:pStyle w:val="Heading2"/>
      </w:pPr>
      <w:r>
        <w:t>（四）监督与评估</w:t>
      </w:r>
    </w:p>
    <w:p>
      <w:r>
        <w:rPr>
          <w:b/>
        </w:rPr>
        <w:t>建立监督评估机制：</w:t>
      </w:r>
    </w:p>
    <w:p>
      <w:pPr>
        <w:pStyle w:val="ListBullet"/>
      </w:pPr>
      <w:r>
        <w:t>建立制度执行监督机制，定期检查制度执行情况</w:t>
      </w:r>
    </w:p>
    <w:p>
      <w:pPr>
        <w:pStyle w:val="ListBullet"/>
      </w:pPr>
      <w:r>
        <w:t>设立制度建设评估指标，定期评估建设成效</w:t>
      </w:r>
    </w:p>
    <w:p>
      <w:pPr>
        <w:pStyle w:val="ListBullet"/>
      </w:pPr>
      <w:r>
        <w:t>建立问题反馈和改进机制，及时解决存在问题</w:t>
      </w:r>
    </w:p>
    <w:p>
      <w:pPr>
        <w:pStyle w:val="ListBullet"/>
      </w:pPr>
      <w:r>
        <w:t>将制度建设纳入绩效考核，强化责任落实</w:t>
      </w:r>
    </w:p>
    <w:p/>
    <w:p>
      <w:pPr>
        <w:pStyle w:val="Heading2"/>
      </w:pPr>
      <w:r>
        <w:t>（五）持续改进</w:t>
      </w:r>
    </w:p>
    <w:p>
      <w:r>
        <w:rPr>
          <w:b/>
        </w:rPr>
        <w:t>建立持续改进机制：</w:t>
      </w:r>
    </w:p>
    <w:p>
      <w:r>
        <w:t>测试科技股份有限公司应建立制度持续改进机制，</w:t>
      </w:r>
      <w:r>
        <w:t>定期评估制度执行效果，根据内外部环境变化及时调整完善制度。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综合风险等级：中等风险</w:t>
      </w:r>
    </w:p>
    <w:p>
      <w:r>
        <w:t>通过运用现代风险管理理论和方法，采用定性与定量相结合的风险评估模型，</w:t>
      </w:r>
      <w:r>
        <w:t>对测试科技股份有限公司进行全方位风险识别、评估和分析。</w:t>
      </w:r>
      <w:r>
        <w:t>评估结果显示，企业总体风险等级为中等风险，</w:t>
      </w:r>
      <w:r>
        <w:t>综合风险得分率为68.2分（满分100分），</w:t>
      </w:r>
      <w:r>
        <w:t>风险管控能力达到软件和信息技术服务业基础水平。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测试科技股份有限公司在治理体系建设方面具备一定的基础，总体完成度达68.2%，在软件和信息技术服务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pPr>
        <w:pStyle w:val="ListBullet"/>
      </w:pPr>
      <w:r>
        <w:t>全面梳理现有治理制度，建立制度清单和制度地图，识别制度缺口和薄弱环节</w:t>
      </w:r>
    </w:p>
    <w:p>
      <w:pPr>
        <w:pStyle w:val="ListBullet"/>
      </w:pPr>
      <w:r>
        <w:t>重点制定和完善核心制度，如《企业风险管理办法》、《信息披露管理制度》等</w:t>
      </w:r>
    </w:p>
    <w:p>
      <w:pPr>
        <w:pStyle w:val="ListBullet"/>
      </w:pPr>
      <w:r>
        <w:t>建立制度定期评估机制，每季度开展制度执行效果评估</w:t>
      </w:r>
    </w:p>
    <w:p>
      <w:pPr>
        <w:pStyle w:val="ListBullet"/>
      </w:pPr>
      <w:r>
        <w:t>完善制度执行监督机制，明确制度执行责任主体，建立制度违反问责机制</w:t>
      </w:r>
    </w:p>
    <w:p/>
    <w:p>
      <w:r>
        <w:rPr>
          <w:b/>
        </w:rPr>
        <w:t>2. 治理透明度提升工程</w:t>
      </w:r>
    </w:p>
    <w:p>
      <w:pPr>
        <w:pStyle w:val="ListBullet"/>
      </w:pPr>
      <w:r>
        <w:t>建立企业信息披露专栏，确保重大信息及时披露</w:t>
      </w:r>
    </w:p>
    <w:p>
      <w:pPr>
        <w:pStyle w:val="ListBullet"/>
      </w:pPr>
      <w:r>
        <w:t>完善内部信息传递机制，建立信息披露责任制</w:t>
      </w:r>
    </w:p>
    <w:p>
      <w:pPr>
        <w:pStyle w:val="ListBullet"/>
      </w:pPr>
      <w:r>
        <w:t>规范关联交易信息披露，建立关联交易数据库</w:t>
      </w:r>
    </w:p>
    <w:p>
      <w:pPr>
        <w:pStyle w:val="ListBullet"/>
      </w:pPr>
      <w:r>
        <w:t>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短期内企业治理完成度预计提升至73%以上。</w:t>
      </w:r>
    </w:p>
    <w:p/>
    <w:p>
      <w:pPr>
        <w:pStyle w:val="Heading2"/>
      </w:pPr>
      <w:r>
        <w:t>（二）中期发展规划（6-18个月）</w:t>
      </w:r>
    </w:p>
    <w:p>
      <w:r>
        <w:rPr>
          <w:b/>
        </w:rPr>
        <w:t>阶段目标：</w:t>
      </w:r>
      <w:r>
        <w:t>优化体系，提升效能，建立现代化治理运行机制</w:t>
      </w:r>
    </w:p>
    <w:p/>
    <w:p>
      <w:r>
        <w:rPr>
          <w:b/>
        </w:rPr>
        <w:t>1. 治理效能优化工程</w:t>
      </w:r>
    </w:p>
    <w:p>
      <w:pPr>
        <w:pStyle w:val="ListBullet"/>
      </w:pPr>
      <w:r>
        <w:t>优化决策流程，建立科学决策机制，决策效率提升30%</w:t>
      </w:r>
    </w:p>
    <w:p>
      <w:pPr>
        <w:pStyle w:val="ListBullet"/>
      </w:pPr>
      <w:r>
        <w:t>推进治理数字化转型，建设智能化治理平台</w:t>
      </w:r>
    </w:p>
    <w:p>
      <w:pPr>
        <w:pStyle w:val="ListBullet"/>
      </w:pPr>
      <w:r>
        <w:t>完善绩效考核体系，将现代企业制度建设纳入考核指标</w:t>
      </w:r>
    </w:p>
    <w:p>
      <w:pPr>
        <w:pStyle w:val="ListBullet"/>
      </w:pPr>
      <w:r>
        <w:t>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企业治理完成度达到78%以上。</w:t>
      </w:r>
    </w:p>
    <w:p/>
    <w:p>
      <w:pPr>
        <w:pStyle w:val="Heading2"/>
      </w:pPr>
      <w:r>
        <w:t>（三）长期目标（1-3年）</w:t>
      </w:r>
    </w:p>
    <w:p>
      <w:r>
        <w:rPr>
          <w:b/>
        </w:rPr>
        <w:t>战略目标：</w:t>
      </w:r>
      <w:r>
        <w:t>全面建成现代企业制度体系，实现治理能力现代化</w:t>
      </w:r>
    </w:p>
    <w:p/>
    <w:p>
      <w:pPr>
        <w:pStyle w:val="ListNumber"/>
      </w:pPr>
      <w:r>
        <w:t>建成完善的现代企业制度体系，实现治理完成度99%以上</w:t>
      </w:r>
    </w:p>
    <w:p>
      <w:pPr>
        <w:pStyle w:val="ListNumber"/>
      </w:pPr>
      <w:r>
        <w:t>实现治理规范化、制度化、程序化，各项治理活动有章可循</w:t>
      </w:r>
    </w:p>
    <w:p>
      <w:pPr>
        <w:pStyle w:val="ListNumber"/>
      </w:pPr>
      <w:r>
        <w:t>达到软件和信息技术服务业领先的治理水平，成为同行业治理标杆</w:t>
      </w:r>
    </w:p>
    <w:p>
      <w:pPr>
        <w:pStyle w:val="ListNumber"/>
      </w:pPr>
      <w:r>
        <w:t>建立与国际先进标准接轨的治理体系</w:t>
      </w:r>
    </w:p>
    <w:p>
      <w:pPr>
        <w:pStyle w:val="ListNumber"/>
      </w:pPr>
      <w:r>
        <w:t>形成良好的企业治理文化，治理理念深入人心</w:t>
      </w:r>
    </w:p>
    <w:p/>
    <w:p>
      <w:r>
        <w:rPr>
          <w:b/>
        </w:rPr>
        <w:t>预期成果：</w:t>
      </w:r>
      <w:r>
        <w:t>全面建成现代企业制度体系，治理能力达到国际先进水平，</w:t>
      </w:r>
      <w:r>
        <w:t>成为软件和信息技术服务业治理标杆企业，为企业高质量发展提供坚强保障。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pPr>
        <w:pStyle w:val="ListBullet"/>
      </w:pPr>
      <w:r>
        <w:t>专业格式：采用正式报告格式，符合官方文档标准</w:t>
      </w:r>
    </w:p>
    <w:p>
      <w:pPr>
        <w:pStyle w:val="ListBullet"/>
      </w:pPr>
      <w:r>
        <w:t>丰富内容：包含行业对比、风险评估、改进路径等增值分析</w:t>
      </w:r>
    </w:p>
    <w:p>
      <w:pPr>
        <w:pStyle w:val="ListBullet"/>
      </w:pPr>
      <w:r>
        <w:t>智能分析：基于数据可用性动态生成相关章节</w:t>
      </w:r>
    </w:p>
    <w:p>
      <w:pPr>
        <w:pStyle w:val="ListBullet"/>
      </w:pPr>
      <w:r>
        <w:t>实用建议：提供针对性的改进建议和实施路径</w:t>
      </w:r>
    </w:p>
    <w:p/>
    <w:p>
      <w:r>
        <w:rPr>
          <w:b/>
        </w:rPr>
        <w:t>4. 使用范围与限制</w:t>
      </w:r>
    </w:p>
    <w:p>
      <w:pPr>
        <w:pStyle w:val="ListBullet"/>
      </w:pPr>
      <w:r>
        <w:t>本报告仅供企业内部管理参考使用</w:t>
      </w:r>
    </w:p>
    <w:p>
      <w:pPr>
        <w:pStyle w:val="ListBullet"/>
      </w:pPr>
      <w:r>
        <w:t>不构成对外投资决策或融资担保的依据</w:t>
      </w:r>
    </w:p>
    <w:p>
      <w:pPr>
        <w:pStyle w:val="ListBullet"/>
      </w:pPr>
      <w:r>
        <w:t>评价结果基于企业自主填报数据，请确保数据真实性</w:t>
      </w:r>
    </w:p>
    <w:p>
      <w:pPr>
        <w:pStyle w:val="ListBullet"/>
      </w:pPr>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18:41:04</w:t>
      </w:r>
    </w:p>
    <w:p>
      <w:r>
        <w:t>企业联系人：张经理</w:t>
      </w:r>
    </w:p>
    <w:p>
      <w:r>
        <w:t>联系方式：test@example.com</w:t>
      </w:r>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规范党组织建设</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执行党的组织生活制度</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w:t>
            </w:r>
          </w:p>
        </w:tc>
        <w:tc>
          <w:tcPr>
            <w:tcW w:type="dxa" w:w="1234"/>
          </w:tcPr>
          <w:p>
            <w:r>
              <w:t>保障党组织活活动经费和场所</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w:t>
            </w:r>
          </w:p>
        </w:tc>
        <w:tc>
          <w:tcPr>
            <w:tcW w:type="dxa" w:w="1234"/>
          </w:tcPr>
          <w:p>
            <w:r>
              <w:t>发挥党组织政治引领作用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w:t>
            </w:r>
          </w:p>
        </w:tc>
        <w:tc>
          <w:tcPr>
            <w:tcW w:type="dxa" w:w="1234"/>
          </w:tcPr>
          <w:p>
            <w:r>
              <w:t>社会主义核心价值体系引领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w:t>
            </w:r>
          </w:p>
        </w:tc>
        <w:tc>
          <w:tcPr>
            <w:tcW w:type="dxa" w:w="1234"/>
          </w:tcPr>
          <w:p>
            <w:r>
              <w:t>中华传统文化融入企业管理实践</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法治文化培育</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8</w:t>
            </w:r>
          </w:p>
        </w:tc>
        <w:tc>
          <w:tcPr>
            <w:tcW w:type="dxa" w:w="1234"/>
          </w:tcPr>
          <w:p>
            <w:r>
              <w:t>企业文化融入管理经营全过程</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9</w:t>
            </w:r>
          </w:p>
        </w:tc>
        <w:tc>
          <w:tcPr>
            <w:tcW w:type="dxa" w:w="1234"/>
          </w:tcPr>
          <w:p>
            <w:r>
              <w:t>产权归属清晰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10</w:t>
            </w:r>
          </w:p>
        </w:tc>
        <w:tc>
          <w:tcPr>
            <w:tcW w:type="dxa" w:w="1234"/>
          </w:tcPr>
          <w:p>
            <w:r>
              <w:t>产权记载证明</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11</w:t>
            </w:r>
          </w:p>
        </w:tc>
        <w:tc>
          <w:tcPr>
            <w:tcW w:type="dxa" w:w="1234"/>
          </w:tcPr>
          <w:p>
            <w:r>
              <w:t>股权结构简明、清晰、可穿透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产权流转顺畅</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13</w:t>
            </w:r>
          </w:p>
        </w:tc>
        <w:tc>
          <w:tcPr>
            <w:tcW w:type="dxa" w:w="1234"/>
          </w:tcPr>
          <w:p>
            <w:r>
              <w:t>股东出资责任</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14</w:t>
            </w:r>
          </w:p>
        </w:tc>
        <w:tc>
          <w:tcPr>
            <w:tcW w:type="dxa" w:w="1234"/>
          </w:tcPr>
          <w:p>
            <w:r>
              <w:t>企业财产边界清晰</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15</w:t>
            </w:r>
          </w:p>
        </w:tc>
        <w:tc>
          <w:tcPr>
            <w:tcW w:type="dxa" w:w="1234"/>
          </w:tcPr>
          <w:p>
            <w:r>
              <w:t>会计制度与财务管理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16</w:t>
            </w:r>
          </w:p>
        </w:tc>
        <w:tc>
          <w:tcPr>
            <w:tcW w:type="dxa" w:w="1234"/>
          </w:tcPr>
          <w:p>
            <w:r>
              <w:t>自主选择组织形式</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股东会职权</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18</w:t>
            </w:r>
          </w:p>
        </w:tc>
        <w:tc>
          <w:tcPr>
            <w:tcW w:type="dxa" w:w="1234"/>
          </w:tcPr>
          <w:p>
            <w:r>
              <w:t>发挥章程在公司治理中的作用</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19</w:t>
            </w:r>
          </w:p>
        </w:tc>
        <w:tc>
          <w:tcPr>
            <w:tcW w:type="dxa" w:w="1234"/>
          </w:tcPr>
          <w:p>
            <w:r>
              <w:t>股东会规范运行</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20</w:t>
            </w:r>
          </w:p>
        </w:tc>
        <w:tc>
          <w:tcPr>
            <w:tcW w:type="dxa" w:w="1234"/>
          </w:tcPr>
          <w:p>
            <w:r>
              <w:t>规范股东行为</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21</w:t>
            </w:r>
          </w:p>
        </w:tc>
        <w:tc>
          <w:tcPr>
            <w:tcW w:type="dxa" w:w="1234"/>
          </w:tcPr>
          <w:p>
            <w:r>
              <w:t>董事会职权</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董事会组成及规范运行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23</w:t>
            </w:r>
          </w:p>
        </w:tc>
        <w:tc>
          <w:tcPr>
            <w:tcW w:type="dxa" w:w="1234"/>
          </w:tcPr>
          <w:p>
            <w:r>
              <w:t>规范组建经理层</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24</w:t>
            </w:r>
          </w:p>
        </w:tc>
        <w:tc>
          <w:tcPr>
            <w:tcW w:type="dxa" w:w="1234"/>
          </w:tcPr>
          <w:p>
            <w:r>
              <w:t>高级管理人员聘任</w:t>
            </w:r>
          </w:p>
        </w:tc>
        <w:tc>
          <w:tcPr>
            <w:tcW w:type="dxa" w:w="1234"/>
          </w:tcPr>
          <w:p>
            <w:r>
              <w:t>1.4</w:t>
            </w:r>
          </w:p>
        </w:tc>
        <w:tc>
          <w:tcPr>
            <w:tcW w:type="dxa" w:w="1234"/>
          </w:tcPr>
          <w:p>
            <w:r>
              <w:t>A. 全部完成</w:t>
            </w:r>
          </w:p>
        </w:tc>
        <w:tc>
          <w:tcPr>
            <w:tcW w:type="dxa" w:w="1234"/>
          </w:tcPr>
          <w:p>
            <w:r>
              <w:t>1.4</w:t>
            </w:r>
          </w:p>
        </w:tc>
        <w:tc>
          <w:tcPr>
            <w:tcW w:type="dxa" w:w="1234"/>
          </w:tcPr>
          <w:p>
            <w:r>
              <w:t>已完成</w:t>
            </w:r>
          </w:p>
        </w:tc>
        <w:tc>
          <w:tcPr>
            <w:tcW w:type="dxa" w:w="1234"/>
          </w:tcPr>
          <w:p>
            <w:r/>
          </w:p>
        </w:tc>
      </w:tr>
      <w:tr>
        <w:tc>
          <w:tcPr>
            <w:tcW w:type="dxa" w:w="1234"/>
          </w:tcPr>
          <w:p>
            <w:r>
              <w:t>25</w:t>
            </w:r>
          </w:p>
        </w:tc>
        <w:tc>
          <w:tcPr>
            <w:tcW w:type="dxa" w:w="1234"/>
          </w:tcPr>
          <w:p>
            <w:r>
              <w:t>监事会/审计委员会设置及权责配置</w:t>
            </w:r>
          </w:p>
        </w:tc>
        <w:tc>
          <w:tcPr>
            <w:tcW w:type="dxa" w:w="1234"/>
          </w:tcPr>
          <w:p>
            <w:r>
              <w:t>1.4</w:t>
            </w:r>
          </w:p>
        </w:tc>
        <w:tc>
          <w:tcPr>
            <w:tcW w:type="dxa" w:w="1234"/>
          </w:tcPr>
          <w:p>
            <w:r>
              <w:t>B. 部分完成</w:t>
            </w:r>
          </w:p>
        </w:tc>
        <w:tc>
          <w:tcPr>
            <w:tcW w:type="dxa" w:w="1234"/>
          </w:tcPr>
          <w:p>
            <w:r>
              <w:t>1.2</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26</w:t>
            </w:r>
          </w:p>
        </w:tc>
        <w:tc>
          <w:tcPr>
            <w:tcW w:type="dxa" w:w="1234"/>
          </w:tcPr>
          <w:p>
            <w:r>
              <w:t>监事选聘和监事会运行</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规范董事、监事和高级管理人员行为</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28</w:t>
            </w:r>
          </w:p>
        </w:tc>
        <w:tc>
          <w:tcPr>
            <w:tcW w:type="dxa" w:w="1234"/>
          </w:tcPr>
          <w:p>
            <w:r>
              <w:t>设立独立的内控、法务机构</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29</w:t>
            </w:r>
          </w:p>
        </w:tc>
        <w:tc>
          <w:tcPr>
            <w:tcW w:type="dxa" w:w="1234"/>
          </w:tcPr>
          <w:p>
            <w:r>
              <w:t>会计系统控制</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30</w:t>
            </w:r>
          </w:p>
        </w:tc>
        <w:tc>
          <w:tcPr>
            <w:tcW w:type="dxa" w:w="1234"/>
          </w:tcPr>
          <w:p>
            <w:r>
              <w:t>关联交易</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31</w:t>
            </w:r>
          </w:p>
        </w:tc>
        <w:tc>
          <w:tcPr>
            <w:tcW w:type="dxa" w:w="1234"/>
          </w:tcPr>
          <w:p>
            <w:r>
              <w:t>内部审计与外部审计</w:t>
            </w:r>
          </w:p>
        </w:tc>
        <w:tc>
          <w:tcPr>
            <w:tcW w:type="dxa" w:w="1234"/>
          </w:tcPr>
          <w:p>
            <w:r>
              <w:t>1.2</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风险合规审查嵌入业务流程</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33</w:t>
            </w:r>
          </w:p>
        </w:tc>
        <w:tc>
          <w:tcPr>
            <w:tcW w:type="dxa" w:w="1234"/>
          </w:tcPr>
          <w:p>
            <w:r>
              <w:t>构建亲清政商关系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34</w:t>
            </w:r>
          </w:p>
        </w:tc>
        <w:tc>
          <w:tcPr>
            <w:tcW w:type="dxa" w:w="1234"/>
          </w:tcPr>
          <w:p>
            <w:r>
              <w:t>建立完善反舞弊举报调查机制</w:t>
            </w:r>
          </w:p>
        </w:tc>
        <w:tc>
          <w:tcPr>
            <w:tcW w:type="dxa" w:w="1234"/>
          </w:tcPr>
          <w:p>
            <w:r>
              <w:t>1.2</w:t>
            </w:r>
          </w:p>
        </w:tc>
        <w:tc>
          <w:tcPr>
            <w:tcW w:type="dxa" w:w="1234"/>
          </w:tcPr>
          <w:p>
            <w:r>
              <w:t>B. 部分完成</w:t>
            </w:r>
          </w:p>
        </w:tc>
        <w:tc>
          <w:tcPr>
            <w:tcW w:type="dxa" w:w="1234"/>
          </w:tcPr>
          <w:p>
            <w:r>
              <w:t>1.1</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35</w:t>
            </w:r>
          </w:p>
        </w:tc>
        <w:tc>
          <w:tcPr>
            <w:tcW w:type="dxa" w:w="1234"/>
          </w:tcPr>
          <w:p>
            <w:r>
              <w:t>国际化经营合规管理体系</w:t>
            </w:r>
          </w:p>
        </w:tc>
        <w:tc>
          <w:tcPr>
            <w:tcW w:type="dxa" w:w="1234"/>
          </w:tcPr>
          <w:p>
            <w:r>
              <w:t>1.2</w:t>
            </w:r>
          </w:p>
        </w:tc>
        <w:tc>
          <w:tcPr>
            <w:tcW w:type="dxa" w:w="1234"/>
          </w:tcPr>
          <w:p>
            <w:r>
              <w:t>A. 全部完成</w:t>
            </w:r>
          </w:p>
        </w:tc>
        <w:tc>
          <w:tcPr>
            <w:tcW w:type="dxa" w:w="1234"/>
          </w:tcPr>
          <w:p>
            <w:r>
              <w:t>1.2</w:t>
            </w:r>
          </w:p>
        </w:tc>
        <w:tc>
          <w:tcPr>
            <w:tcW w:type="dxa" w:w="1234"/>
          </w:tcPr>
          <w:p>
            <w:r>
              <w:t>已完成</w:t>
            </w:r>
          </w:p>
        </w:tc>
        <w:tc>
          <w:tcPr>
            <w:tcW w:type="dxa" w:w="1234"/>
          </w:tcPr>
          <w:p>
            <w:r/>
          </w:p>
        </w:tc>
      </w:tr>
      <w:tr>
        <w:tc>
          <w:tcPr>
            <w:tcW w:type="dxa" w:w="1234"/>
          </w:tcPr>
          <w:p>
            <w:r>
              <w:t>36</w:t>
            </w:r>
          </w:p>
        </w:tc>
        <w:tc>
          <w:tcPr>
            <w:tcW w:type="dxa" w:w="1234"/>
          </w:tcPr>
          <w:p>
            <w:r>
              <w:t>服务国家战略与新发展格局</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产业政策协同</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38</w:t>
            </w:r>
          </w:p>
        </w:tc>
        <w:tc>
          <w:tcPr>
            <w:tcW w:type="dxa" w:w="1234"/>
          </w:tcPr>
          <w:p>
            <w:r>
              <w:t>聚焦主业</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39</w:t>
            </w:r>
          </w:p>
        </w:tc>
        <w:tc>
          <w:tcPr>
            <w:tcW w:type="dxa" w:w="1234"/>
          </w:tcPr>
          <w:p>
            <w:r>
              <w:t>战略规划</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40</w:t>
            </w:r>
          </w:p>
        </w:tc>
        <w:tc>
          <w:tcPr>
            <w:tcW w:type="dxa" w:w="1234"/>
          </w:tcPr>
          <w:p>
            <w:r>
              <w:t>战略管理权责分工</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41</w:t>
            </w:r>
          </w:p>
        </w:tc>
        <w:tc>
          <w:tcPr>
            <w:tcW w:type="dxa" w:w="1234"/>
          </w:tcPr>
          <w:p>
            <w:r>
              <w:t>战略执行与监督</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人力资源管理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43</w:t>
            </w:r>
          </w:p>
        </w:tc>
        <w:tc>
          <w:tcPr>
            <w:tcW w:type="dxa" w:w="1234"/>
          </w:tcPr>
          <w:p>
            <w:r>
              <w:t>数据管理与信息安全</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44</w:t>
            </w:r>
          </w:p>
        </w:tc>
        <w:tc>
          <w:tcPr>
            <w:tcW w:type="dxa" w:w="1234"/>
          </w:tcPr>
          <w:p>
            <w:r>
              <w:t>安全生产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45</w:t>
            </w:r>
          </w:p>
        </w:tc>
        <w:tc>
          <w:tcPr>
            <w:tcW w:type="dxa" w:w="1234"/>
          </w:tcPr>
          <w:p>
            <w:r>
              <w:t>产品质量与客户服务</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46</w:t>
            </w:r>
          </w:p>
        </w:tc>
        <w:tc>
          <w:tcPr>
            <w:tcW w:type="dxa" w:w="1234"/>
          </w:tcPr>
          <w:p>
            <w:r>
              <w:t>供应商管理</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工会建设与职工民主管理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48</w:t>
            </w:r>
          </w:p>
        </w:tc>
        <w:tc>
          <w:tcPr>
            <w:tcW w:type="dxa" w:w="1234"/>
          </w:tcPr>
          <w:p>
            <w:r>
              <w:t>劳动合同与社保工资</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49</w:t>
            </w:r>
          </w:p>
        </w:tc>
        <w:tc>
          <w:tcPr>
            <w:tcW w:type="dxa" w:w="1234"/>
          </w:tcPr>
          <w:p>
            <w:r>
              <w:t>劳动保护与争议处理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50</w:t>
            </w:r>
          </w:p>
        </w:tc>
        <w:tc>
          <w:tcPr>
            <w:tcW w:type="dxa" w:w="1234"/>
          </w:tcPr>
          <w:p>
            <w:r>
              <w:t>劳动规章制度建设</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51</w:t>
            </w:r>
          </w:p>
        </w:tc>
        <w:tc>
          <w:tcPr>
            <w:tcW w:type="dxa" w:w="1234"/>
          </w:tcPr>
          <w:p>
            <w:r>
              <w:t>创新治理体系与风险管控</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研发投入与管理</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53</w:t>
            </w:r>
          </w:p>
        </w:tc>
        <w:tc>
          <w:tcPr>
            <w:tcW w:type="dxa" w:w="1234"/>
          </w:tcPr>
          <w:p>
            <w:r>
              <w:t>产学研合作</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54</w:t>
            </w:r>
          </w:p>
        </w:tc>
        <w:tc>
          <w:tcPr>
            <w:tcW w:type="dxa" w:w="1234"/>
          </w:tcPr>
          <w:p>
            <w:r>
              <w:t>知识产权管理</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55</w:t>
            </w:r>
          </w:p>
        </w:tc>
        <w:tc>
          <w:tcPr>
            <w:tcW w:type="dxa" w:w="1234"/>
          </w:tcPr>
          <w:p>
            <w:r>
              <w:t>建立利益相关者沟通途径</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56</w:t>
            </w:r>
          </w:p>
        </w:tc>
        <w:tc>
          <w:tcPr>
            <w:tcW w:type="dxa" w:w="1234"/>
          </w:tcPr>
          <w:p>
            <w:r>
              <w:t>践行诚信经营</w:t>
            </w:r>
          </w:p>
        </w:tc>
        <w:tc>
          <w:tcPr>
            <w:tcW w:type="dxa" w:w="1234"/>
          </w:tcPr>
          <w:p>
            <w:r>
              <w:t>2.0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保护消费者权益</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58</w:t>
            </w:r>
          </w:p>
        </w:tc>
        <w:tc>
          <w:tcPr>
            <w:tcW w:type="dxa" w:w="1234"/>
          </w:tcPr>
          <w:p>
            <w:r>
              <w:t>多维度为社会事业贡献力量</w:t>
            </w:r>
          </w:p>
        </w:tc>
        <w:tc>
          <w:tcPr>
            <w:tcW w:type="dxa" w:w="1234"/>
          </w:tcPr>
          <w:p>
            <w:r>
              <w:t>2.0</w:t>
            </w:r>
          </w:p>
        </w:tc>
        <w:tc>
          <w:tcPr>
            <w:tcW w:type="dxa" w:w="1234"/>
          </w:tcPr>
          <w:p>
            <w:r>
              <w:t>B. 部分完成</w:t>
            </w:r>
          </w:p>
        </w:tc>
        <w:tc>
          <w:tcPr>
            <w:tcW w:type="dxa" w:w="1234"/>
          </w:tcPr>
          <w:p>
            <w:r>
              <w:t>1.8</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r>
        <w:tc>
          <w:tcPr>
            <w:tcW w:type="dxa" w:w="1234"/>
          </w:tcPr>
          <w:p>
            <w:r>
              <w:t>59</w:t>
            </w:r>
          </w:p>
        </w:tc>
        <w:tc>
          <w:tcPr>
            <w:tcW w:type="dxa" w:w="1234"/>
          </w:tcPr>
          <w:p>
            <w:r>
              <w:t>企业薪酬制度和水平科学合理</w:t>
            </w:r>
          </w:p>
        </w:tc>
        <w:tc>
          <w:tcPr>
            <w:tcW w:type="dxa" w:w="1234"/>
          </w:tcPr>
          <w:p>
            <w:r>
              <w:t>2.0</w:t>
            </w:r>
          </w:p>
        </w:tc>
        <w:tc>
          <w:tcPr>
            <w:tcW w:type="dxa" w:w="1234"/>
          </w:tcPr>
          <w:p>
            <w:r>
              <w:t>A. 全部完成</w:t>
            </w:r>
          </w:p>
        </w:tc>
        <w:tc>
          <w:tcPr>
            <w:tcW w:type="dxa" w:w="1234"/>
          </w:tcPr>
          <w:p>
            <w:r>
              <w:t>2.0</w:t>
            </w:r>
          </w:p>
        </w:tc>
        <w:tc>
          <w:tcPr>
            <w:tcW w:type="dxa" w:w="1234"/>
          </w:tcPr>
          <w:p>
            <w:r>
              <w:t>已完成</w:t>
            </w:r>
          </w:p>
        </w:tc>
        <w:tc>
          <w:tcPr>
            <w:tcW w:type="dxa" w:w="1234"/>
          </w:tcPr>
          <w:p>
            <w:r/>
          </w:p>
        </w:tc>
      </w:tr>
      <w:tr>
        <w:tc>
          <w:tcPr>
            <w:tcW w:type="dxa" w:w="1234"/>
          </w:tcPr>
          <w:p>
            <w:r>
              <w:t>60</w:t>
            </w:r>
          </w:p>
        </w:tc>
        <w:tc>
          <w:tcPr>
            <w:tcW w:type="dxa" w:w="1234"/>
          </w:tcPr>
          <w:p>
            <w:r>
              <w:t>股东分红</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61</w:t>
            </w:r>
          </w:p>
        </w:tc>
        <w:tc>
          <w:tcPr>
            <w:tcW w:type="dxa" w:w="1234"/>
          </w:tcPr>
          <w:p>
            <w:r>
              <w:t>中小股东参会情况</w:t>
            </w:r>
          </w:p>
        </w:tc>
        <w:tc>
          <w:tcPr>
            <w:tcW w:type="dxa" w:w="1234"/>
          </w:tcPr>
          <w:p>
            <w:r>
              <w:t>1.0</w:t>
            </w:r>
          </w:p>
        </w:tc>
        <w:tc>
          <w:tcPr>
            <w:tcW w:type="dxa" w:w="1234"/>
          </w:tcPr>
          <w:p>
            <w:r>
              <w:t>C. 均未完成</w:t>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盈利能力</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63</w:t>
            </w:r>
          </w:p>
        </w:tc>
        <w:tc>
          <w:tcPr>
            <w:tcW w:type="dxa" w:w="1234"/>
          </w:tcPr>
          <w:p>
            <w:r>
              <w:t>偿债与财务稳定性</w:t>
            </w:r>
          </w:p>
        </w:tc>
        <w:tc>
          <w:tcPr>
            <w:tcW w:type="dxa" w:w="1234"/>
          </w:tcPr>
          <w:p>
            <w:r>
              <w:t>1.0</w:t>
            </w:r>
          </w:p>
        </w:tc>
        <w:tc>
          <w:tcPr>
            <w:tcW w:type="dxa" w:w="1234"/>
          </w:tcPr>
          <w:p>
            <w:r>
              <w:t>A. 全部完成</w:t>
            </w:r>
          </w:p>
        </w:tc>
        <w:tc>
          <w:tcPr>
            <w:tcW w:type="dxa" w:w="1234"/>
          </w:tcPr>
          <w:p>
            <w:r>
              <w:t>1.0</w:t>
            </w:r>
          </w:p>
        </w:tc>
        <w:tc>
          <w:tcPr>
            <w:tcW w:type="dxa" w:w="1234"/>
          </w:tcPr>
          <w:p>
            <w:r>
              <w:t>已完成</w:t>
            </w:r>
          </w:p>
        </w:tc>
        <w:tc>
          <w:tcPr>
            <w:tcW w:type="dxa" w:w="1234"/>
          </w:tcPr>
          <w:p>
            <w:r/>
          </w:p>
        </w:tc>
      </w:tr>
      <w:tr>
        <w:tc>
          <w:tcPr>
            <w:tcW w:type="dxa" w:w="1234"/>
          </w:tcPr>
          <w:p>
            <w:r>
              <w:t>64</w:t>
            </w:r>
          </w:p>
        </w:tc>
        <w:tc>
          <w:tcPr>
            <w:tcW w:type="dxa" w:w="1234"/>
          </w:tcPr>
          <w:p>
            <w:r>
              <w:t>成长性</w:t>
            </w:r>
          </w:p>
        </w:tc>
        <w:tc>
          <w:tcPr>
            <w:tcW w:type="dxa" w:w="1234"/>
          </w:tcPr>
          <w:p>
            <w:r>
              <w:t>1.0</w:t>
            </w:r>
          </w:p>
        </w:tc>
        <w:tc>
          <w:tcPr>
            <w:tcW w:type="dxa" w:w="1234"/>
          </w:tcPr>
          <w:p>
            <w:r>
              <w:t>B. 部分完成</w:t>
            </w:r>
          </w:p>
        </w:tc>
        <w:tc>
          <w:tcPr>
            <w:tcW w:type="dxa" w:w="1234"/>
          </w:tcPr>
          <w:p>
            <w:r>
              <w:t>0.0</w:t>
            </w:r>
          </w:p>
        </w:tc>
        <w:tc>
          <w:tcPr>
            <w:tcW w:type="dxa" w:w="1234"/>
          </w:tcPr>
          <w:p>
            <w:r>
              <w:t>部分完成</w:t>
            </w:r>
          </w:p>
        </w:tc>
        <w:tc>
          <w:tcPr>
            <w:tcW w:type="dxa" w:w="1234"/>
          </w:tcPr>
          <w:p>
            <w:r>
              <w:t>该项工作已启动，目前完成了基础框架的搭建，正在逐步完善相关制度和流程。预计在未来3-6个月内全面完成。已投入专项资金约50万元，配备专职人员2名。</w:t>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