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44"/>
        </w:rPr>
        <w:t>南开大学现代企业制度指数</w:t>
        <w:br/>
        <w:t>评价自评报告</w:t>
      </w:r>
    </w:p>
    <w:p/>
    <w:p>
      <w:pPr>
        <w:jc w:val="center"/>
      </w:pPr>
      <w:r>
        <w:rPr>
          <w:b/>
          <w:sz w:val="32"/>
        </w:rPr>
        <w:t>企业名称：远洋集团</w:t>
      </w:r>
    </w:p>
    <w:p>
      <w:pPr>
        <w:jc w:val="center"/>
      </w:pPr>
      <w:r>
        <w:rPr>
          <w:sz w:val="28"/>
        </w:rPr>
        <w:t>评价级别：初级</w:t>
      </w:r>
    </w:p>
    <w:p>
      <w:pPr>
        <w:jc w:val="center"/>
      </w:pPr>
      <w:r>
        <w:rPr>
          <w:b/>
          <w:color w:val="2E5090"/>
          <w:sz w:val="36"/>
        </w:rPr>
        <w:t>综合得分：94.19分</w:t>
      </w:r>
    </w:p>
    <w:p>
      <w:pPr>
        <w:jc w:val="center"/>
      </w:pPr>
      <w:r>
        <w:rPr>
          <w:sz w:val="24"/>
        </w:rPr>
        <w:t>生成日期：2025年12月02日</w:t>
      </w:r>
    </w:p>
    <w:p>
      <w:r>
        <w:br w:type="page"/>
      </w:r>
    </w:p>
    <w:p>
      <w:pPr>
        <w:pStyle w:val="Heading1"/>
      </w:pPr>
      <w:r>
        <w:rPr>
          <w:color w:val="2E5090"/>
        </w:rPr>
        <w:t>执行摘要</w:t>
      </w:r>
    </w:p>
    <w:p>
      <w:r>
        <w:rPr>
          <w:b/>
        </w:rPr>
        <w:t>评价结论：</w:t>
      </w:r>
      <w:r>
        <w:rPr>
          <w:b/>
          <w:color w:val="008000"/>
        </w:rPr>
        <w:t>优秀</w:t>
      </w:r>
    </w:p>
    <w:p>
      <w:r>
        <w:rPr>
          <w:b/>
        </w:rPr>
        <w:t>总得分：</w:t>
      </w:r>
      <w:r>
        <w:t>77.8分 / 82.6分 （完成度：94.2%）</w:t>
      </w:r>
    </w:p>
    <w:p>
      <w:r>
        <w:rPr>
          <w:b/>
        </w:rPr>
        <w:t>企业概况：</w:t>
      </w:r>
      <w:r>
        <w:t>远洋集团是一家大型企业，主要从事第二产业。</w:t>
      </w:r>
      <w:r>
        <w:t>该企业自成立以来，始终坚持规范化经营，积极推进现代企业制度建设，</w:t>
      </w:r>
      <w:r>
        <w:t>在治理体系完善、制度执行、风险控制等方面取得了显著进展。</w:t>
      </w:r>
    </w:p>
    <w:p/>
    <w:p>
      <w:r>
        <w:rPr>
          <w:b/>
        </w:rPr>
        <w:t>评价亮点：</w:t>
      </w:r>
    </w:p>
    <w:p>
      <w:pPr>
        <w:pStyle w:val="ListBullet"/>
      </w:pPr>
      <w:r>
        <w:t>治理方向性表现优秀，得分率100.0%，</w:t>
      </w:r>
      <w:r>
        <w:t>体现了企业在该领域的制度建设水平较高</w:t>
      </w:r>
    </w:p>
    <w:p>
      <w:pPr>
        <w:pStyle w:val="ListBullet"/>
      </w:pPr>
      <w:r>
        <w:t>治理规范性表现优秀，得分率100.0%，</w:t>
      </w:r>
      <w:r>
        <w:t>体现了企业在该领域的制度建设水平较高</w:t>
      </w:r>
    </w:p>
    <w:p>
      <w:pPr>
        <w:pStyle w:val="ListBullet"/>
      </w:pPr>
      <w:r>
        <w:t>治理安全性表现优秀，得分率100.0%，</w:t>
      </w:r>
      <w:r>
        <w:t>体现了企业在该领域的制度建设水平较高</w:t>
      </w:r>
    </w:p>
    <w:p/>
    <w:p>
      <w:r>
        <w:rPr>
          <w:b/>
        </w:rPr>
        <w:t>存在问题：</w:t>
      </w:r>
    </w:p>
    <w:p>
      <w:pPr>
        <w:pStyle w:val="ListBullet"/>
      </w:pPr>
      <w:r>
        <w:t>各维度表现均衡，建议继续保持现有水平，持续优化提升</w:t>
      </w:r>
    </w:p>
    <w:p/>
    <w:p>
      <w:r>
        <w:br w:type="page"/>
      </w:r>
    </w:p>
    <w:p>
      <w:pPr>
        <w:pStyle w:val="Heading1"/>
      </w:pPr>
      <w:r>
        <w:rPr>
          <w:color w:val="2E5090"/>
        </w:rPr>
        <w:t>一、企业基本信息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企业名称</w:t>
            </w:r>
          </w:p>
        </w:tc>
        <w:tc>
          <w:tcPr>
            <w:tcW w:type="dxa" w:w="4320"/>
          </w:tcPr>
          <w:p>
            <w:r>
              <w:t>远洋集团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王露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13287905329</w:t>
            </w:r>
          </w:p>
        </w:tc>
      </w:tr>
      <w:tr>
        <w:tc>
          <w:tcPr>
            <w:tcW w:type="dxa" w:w="4320"/>
          </w:tcPr>
          <w:p>
            <w:r>
              <w:t>联系邮箱</w:t>
            </w:r>
          </w:p>
        </w:tc>
        <w:tc>
          <w:tcPr>
            <w:tcW w:type="dxa" w:w="4320"/>
          </w:tcPr>
          <w:p>
            <w:r>
              <w:t>13287905329@163.com</w:t>
            </w:r>
          </w:p>
        </w:tc>
      </w:tr>
      <w:tr>
        <w:tc>
          <w:tcPr>
            <w:tcW w:type="dxa" w:w="4320"/>
          </w:tcPr>
          <w:p>
            <w:r>
              <w:t>主营业务</w:t>
            </w:r>
          </w:p>
        </w:tc>
        <w:tc>
          <w:tcPr>
            <w:tcW w:type="dxa" w:w="4320"/>
          </w:tcPr>
          <w:p>
            <w:r>
              <w:t>第二产业</w:t>
            </w:r>
          </w:p>
        </w:tc>
      </w:tr>
      <w:tr>
        <w:tc>
          <w:tcPr>
            <w:tcW w:type="dxa" w:w="4320"/>
          </w:tcPr>
          <w:p>
            <w:r>
              <w:t>企业规模</w:t>
            </w:r>
          </w:p>
        </w:tc>
        <w:tc>
          <w:tcPr>
            <w:tcW w:type="dxa" w:w="4320"/>
          </w:tcPr>
          <w:p>
            <w:r>
              <w:t>大型</w:t>
            </w:r>
          </w:p>
        </w:tc>
      </w:tr>
    </w:tbl>
    <w:p/>
    <w:p>
      <w:pPr>
        <w:pStyle w:val="Heading1"/>
      </w:pPr>
      <w:r>
        <w:rPr>
          <w:color w:val="2E5090"/>
        </w:rPr>
        <w:t>二、评价总览</w:t>
      </w:r>
    </w:p>
    <w:p>
      <w:r>
        <w:rPr>
          <w:b/>
        </w:rPr>
        <w:t>评价结果：</w:t>
      </w:r>
      <w:r>
        <w:t>贵企业在初级问卷评价中，</w:t>
      </w:r>
      <w:r>
        <w:t>实际得分77.80分，满分82.60分，</w:t>
      </w:r>
      <w:r>
        <w:t>百分制得分为94.19分。</w:t>
      </w:r>
    </w:p>
    <w:p>
      <w:r>
        <w:rPr>
          <w:b/>
        </w:rPr>
        <w:t>评价等级：</w:t>
      </w:r>
      <w:r>
        <w:rPr>
          <w:b/>
          <w:color w:val="2E5090"/>
        </w:rPr>
        <w:t>优秀</w:t>
      </w:r>
    </w:p>
    <w:p>
      <w:r>
        <w:rPr>
          <w:b/>
        </w:rPr>
        <w:t>总体评价：</w:t>
      </w:r>
      <w:r>
        <w:t>企业现代制度建设达到卓越水平，各项制度健全完善，执行有力。</w:t>
      </w:r>
    </w:p>
    <w:p/>
    <w:p>
      <w:pPr>
        <w:pStyle w:val="Heading1"/>
      </w:pPr>
      <w:r>
        <w:rPr>
          <w:color w:val="2E5090"/>
        </w:rPr>
        <w:t>三、各维度详细分析</w:t>
      </w:r>
    </w:p>
    <w:p>
      <w:pPr>
        <w:pStyle w:val="Heading2"/>
      </w:pPr>
      <w:r>
        <w:t>治理方向性</w:t>
      </w:r>
    </w:p>
    <w:p>
      <w:r>
        <w:rPr>
          <w:b/>
        </w:rPr>
        <w:t>维度得分：1.00/1.00分（100.0%）</w:t>
      </w:r>
    </w:p>
    <w:p>
      <w:r>
        <w:t>完成情况：已完成1项，部分完成0项，未完成0项</w:t>
      </w:r>
    </w:p>
    <w:p/>
    <w:p>
      <w:pPr>
        <w:pStyle w:val="Heading2"/>
      </w:pPr>
      <w:r>
        <w:t>治理规范性</w:t>
      </w:r>
    </w:p>
    <w:p>
      <w:r>
        <w:rPr>
          <w:b/>
        </w:rPr>
        <w:t>维度得分：2.00/2.00分（100.0%）</w:t>
      </w:r>
    </w:p>
    <w:p>
      <w:r>
        <w:t>完成情况：已完成1项，部分完成0项，未完成0项</w:t>
      </w:r>
    </w:p>
    <w:p/>
    <w:p>
      <w:pPr>
        <w:pStyle w:val="Heading2"/>
      </w:pPr>
      <w:r>
        <w:t>治理安全性</w:t>
      </w:r>
    </w:p>
    <w:p>
      <w:r>
        <w:rPr>
          <w:b/>
        </w:rPr>
        <w:t>维度得分：1.20/1.20分（100.0%）</w:t>
      </w:r>
    </w:p>
    <w:p>
      <w:r>
        <w:t>完成情况：已完成1项，部分完成0项，未完成0项</w:t>
      </w:r>
    </w:p>
    <w:p/>
    <w:p>
      <w:pPr>
        <w:pStyle w:val="Heading2"/>
      </w:pPr>
      <w:r>
        <w:t>治理科学性</w:t>
      </w:r>
    </w:p>
    <w:p>
      <w:r>
        <w:rPr>
          <w:b/>
        </w:rPr>
        <w:t>维度得分：1.00/1.00分（100.0%）</w:t>
      </w:r>
    </w:p>
    <w:p>
      <w:r>
        <w:t>完成情况：已完成1项，部分完成0项，未完成0项</w:t>
      </w:r>
    </w:p>
    <w:p/>
    <w:p>
      <w:pPr>
        <w:pStyle w:val="Heading2"/>
      </w:pPr>
      <w:r>
        <w:t>治理社会性</w:t>
      </w:r>
    </w:p>
    <w:p>
      <w:r>
        <w:rPr>
          <w:b/>
        </w:rPr>
        <w:t>维度得分：2.00/2.00分（100.0%）</w:t>
      </w:r>
    </w:p>
    <w:p>
      <w:r>
        <w:t>完成情况：已完成1项，部分完成0项，未完成0项</w:t>
      </w:r>
    </w:p>
    <w:p/>
    <w:p>
      <w:pPr>
        <w:pStyle w:val="Heading2"/>
      </w:pPr>
      <w:r>
        <w:t>治理有效性</w:t>
      </w:r>
    </w:p>
    <w:p>
      <w:r>
        <w:rPr>
          <w:b/>
        </w:rPr>
        <w:t>维度得分：1.00/1.00分（100.0%）</w:t>
      </w:r>
    </w:p>
    <w:p>
      <w:r>
        <w:t>完成情况：已完成1项，部分完成0项，未完成0项</w:t>
      </w:r>
    </w:p>
    <w:p/>
    <w:p>
      <w:pPr>
        <w:pStyle w:val="Heading1"/>
      </w:pPr>
      <w:r>
        <w:rPr>
          <w:color w:val="2E5090"/>
        </w:rPr>
        <w:t>四、优势与不足</w:t>
      </w:r>
    </w:p>
    <w:p>
      <w:pPr>
        <w:pStyle w:val="Heading2"/>
      </w:pPr>
      <w:r>
        <w:t>（一）主要优势</w:t>
      </w:r>
    </w:p>
    <w:p>
      <w:r>
        <w:t>贵企业在以下方面表现优秀：</w:t>
      </w:r>
    </w:p>
    <w:p>
      <w:pPr>
        <w:pStyle w:val="ListBullet"/>
      </w:pPr>
      <w:r>
        <w:t>规范党组织建设</w:t>
      </w:r>
    </w:p>
    <w:p>
      <w:pPr>
        <w:pStyle w:val="ListBullet"/>
      </w:pPr>
      <w:r>
        <w:t>保障党组织活活动经费和场所</w:t>
      </w:r>
    </w:p>
    <w:p>
      <w:pPr>
        <w:pStyle w:val="ListBullet"/>
      </w:pPr>
      <w:r>
        <w:t>发挥党组织政治引领作用</w:t>
      </w:r>
    </w:p>
    <w:p>
      <w:pPr>
        <w:pStyle w:val="ListBullet"/>
      </w:pPr>
      <w:r>
        <w:t>中华传统文化融入企业管理实践</w:t>
      </w:r>
    </w:p>
    <w:p>
      <w:pPr>
        <w:pStyle w:val="ListBullet"/>
      </w:pPr>
      <w:r>
        <w:t>企业文化融入管理经营全过程</w:t>
      </w:r>
    </w:p>
    <w:p>
      <w:pPr>
        <w:pStyle w:val="ListBullet"/>
      </w:pPr>
      <w:r>
        <w:t>产权归属清晰</w:t>
      </w:r>
    </w:p>
    <w:p>
      <w:pPr>
        <w:pStyle w:val="ListBullet"/>
      </w:pPr>
      <w:r>
        <w:t>产权记载证明</w:t>
      </w:r>
    </w:p>
    <w:p>
      <w:pPr>
        <w:pStyle w:val="ListBullet"/>
      </w:pPr>
      <w:r>
        <w:t>产权流转顺畅</w:t>
      </w:r>
    </w:p>
    <w:p>
      <w:pPr>
        <w:pStyle w:val="ListBullet"/>
      </w:pPr>
      <w:r>
        <w:t>股东出资责任</w:t>
      </w:r>
    </w:p>
    <w:p>
      <w:pPr>
        <w:pStyle w:val="ListBullet"/>
      </w:pPr>
      <w:r>
        <w:t>企业财产边界清晰</w:t>
      </w:r>
    </w:p>
    <w:p>
      <w:pPr>
        <w:pStyle w:val="Heading2"/>
      </w:pPr>
      <w:r>
        <w:t>（二）主要不足</w:t>
      </w:r>
    </w:p>
    <w:p>
      <w:r>
        <w:t>贵企业在以下方面需要改进：</w:t>
      </w:r>
    </w:p>
    <w:p>
      <w:pPr>
        <w:pStyle w:val="ListBullet"/>
      </w:pPr>
      <w:r>
        <w:t>股权结构简明、清晰、可穿透</w:t>
      </w:r>
    </w:p>
    <w:p>
      <w:pPr>
        <w:pStyle w:val="ListBullet"/>
      </w:pPr>
      <w:r>
        <w:t>规范股东行为</w:t>
      </w:r>
    </w:p>
    <w:p>
      <w:pPr>
        <w:pStyle w:val="ListBullet"/>
      </w:pPr>
      <w:r>
        <w:t>董事会职权</w:t>
      </w:r>
    </w:p>
    <w:p>
      <w:pPr>
        <w:pStyle w:val="ListBullet"/>
      </w:pPr>
      <w:r>
        <w:t>监事选聘和监事会运行</w:t>
      </w:r>
    </w:p>
    <w:p>
      <w:pPr>
        <w:pStyle w:val="ListBullet"/>
      </w:pPr>
      <w:r>
        <w:t>产业政策协同</w:t>
      </w:r>
    </w:p>
    <w:p>
      <w:pPr>
        <w:pStyle w:val="ListBullet"/>
      </w:pPr>
      <w:r>
        <w:t>聚焦主业</w:t>
      </w:r>
    </w:p>
    <w:p>
      <w:pPr>
        <w:pStyle w:val="ListBullet"/>
      </w:pPr>
      <w:r>
        <w:t>战略规划</w:t>
      </w:r>
    </w:p>
    <w:p/>
    <w:p>
      <w:pPr>
        <w:pStyle w:val="Heading1"/>
      </w:pPr>
      <w:r>
        <w:rPr>
          <w:color w:val="2E5090"/>
        </w:rPr>
        <w:t>五、改进建议</w:t>
      </w:r>
    </w:p>
    <w:p>
      <w:pPr>
        <w:pStyle w:val="Heading2"/>
      </w:pPr>
      <w:r>
        <w:t>（一）总体建议</w:t>
      </w:r>
    </w:p>
    <w:p>
      <w:r>
        <w:t>贵企业现代制度建设已达到优秀水平，建议继续保持并不断优化现有制度体系，关注行业最新发展趋势，持续提升制度执行效果。</w:t>
      </w:r>
    </w:p>
    <w:p>
      <w:pPr>
        <w:pStyle w:val="Heading2"/>
      </w:pPr>
      <w:r>
        <w:t>（二）具体改进措施</w:t>
      </w:r>
    </w:p>
    <w:p>
      <w:r>
        <w:t>建议优先改进以下方面：</w:t>
      </w:r>
    </w:p>
    <w:p>
      <w:pPr>
        <w:pStyle w:val="ListNumber"/>
      </w:pPr>
      <w:r>
        <w:t>执行党的组织生活制度</w:t>
      </w:r>
    </w:p>
    <w:p>
      <w:pPr>
        <w:pStyle w:val="ListNumber"/>
      </w:pPr>
      <w:r>
        <w:t>社会主义核心价值体系引领</w:t>
      </w:r>
    </w:p>
    <w:p>
      <w:pPr>
        <w:pStyle w:val="ListNumber"/>
      </w:pPr>
      <w:r>
        <w:t>法治文化培育</w:t>
      </w:r>
    </w:p>
    <w:p>
      <w:pPr>
        <w:pStyle w:val="ListNumber"/>
      </w:pPr>
      <w:r>
        <w:t>股权结构简明、清晰、可穿透</w:t>
      </w:r>
    </w:p>
    <w:p>
      <w:pPr>
        <w:pStyle w:val="ListNumber"/>
      </w:pPr>
      <w:r>
        <w:t>规范股东行为</w:t>
      </w:r>
    </w:p>
    <w:p>
      <w:pPr>
        <w:pStyle w:val="ListNumber"/>
      </w:pPr>
      <w:r>
        <w:t>董事会职权</w:t>
      </w:r>
    </w:p>
    <w:p>
      <w:pPr>
        <w:pStyle w:val="ListNumber"/>
      </w:pPr>
      <w:r>
        <w:t>规范组建经理层</w:t>
      </w:r>
    </w:p>
    <w:p>
      <w:pPr>
        <w:pStyle w:val="ListNumber"/>
      </w:pPr>
      <w:r>
        <w:t>高级管理人员聘任</w:t>
      </w:r>
    </w:p>
    <w:p>
      <w:pPr>
        <w:pStyle w:val="ListNumber"/>
      </w:pPr>
      <w:r>
        <w:t>监事选聘和监事会运行</w:t>
      </w:r>
    </w:p>
    <w:p>
      <w:pPr>
        <w:pStyle w:val="ListNumber"/>
      </w:pPr>
      <w:r>
        <w:t>产业政策协同</w:t>
      </w:r>
    </w:p>
    <w:p>
      <w:pPr>
        <w:pStyle w:val="ListNumber"/>
      </w:pPr>
      <w:r>
        <w:t>聚焦主业</w:t>
      </w:r>
    </w:p>
    <w:p>
      <w:pPr>
        <w:pStyle w:val="ListNumber"/>
      </w:pPr>
      <w:r>
        <w:t>战略规划</w:t>
      </w:r>
    </w:p>
    <w:p>
      <w:pPr>
        <w:pStyle w:val="ListNumber"/>
      </w:pPr>
      <w:r>
        <w:t>成长性</w:t>
      </w:r>
    </w:p>
    <w:p/>
    <w:p>
      <w:pPr>
        <w:pStyle w:val="Heading1"/>
      </w:pPr>
      <w:r>
        <w:rPr>
          <w:color w:val="2E5090"/>
        </w:rPr>
        <w:t>附录：问卷详细数据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三级指标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答案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完成度</w:t>
            </w:r>
          </w:p>
        </w:tc>
        <w:tc>
          <w:tcPr>
            <w:tcW w:type="dxa" w:w="1234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规范党组织建设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执行党的组织生活制度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第一二三项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保障党组织活活动经费和场所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发挥党组织政治引领作用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社会主义核心价值体系引领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完成了前两项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中华传统文化融入企业管理实践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法治文化培育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完成1、2项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企业文化融入管理经营全过程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产权归属清晰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产权记载证明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股权结构简明、清晰、可穿透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产权流转顺畅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股东出资责任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企业财产边界清晰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会计制度与财务管理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自主选择组织形式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股东会职权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发挥章程在公司治理中的作用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股东会规范运行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规范股东行为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董事会职权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董事会组成及规范运行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规范组建经理层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第二项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高级管理人员聘任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完成第一项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监事会/审计委员会设置及权责配置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1.4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监事选聘和监事会运行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规范董事、监事和高级管理人员行为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设立独立的内控、法务机构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会计系统控制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关联交易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内部审计与外部审计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风险合规审查嵌入业务流程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构建亲清政商关系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建立完善反舞弊举报调查机制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国际化经营合规管理体系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服务国家战略与新发展格局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产业政策协同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聚焦主业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战略规划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C. 未完成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未完成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战略管理权责分工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战略执行与监督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人力资源管理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数据管理与信息安全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安全生产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产品质量与客户服务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供应商管理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工会建设与职工民主管理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劳动合同与社保工资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劳动保护与争议处理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劳动规章制度建设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创新治理体系与风险管控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研发投入与管理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产学研合作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知识产权管理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建立利益相关者沟通途径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践行诚信经营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保护消费者权益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多维度为社会事业贡献力量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企业薪酬制度和水平科学合理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股东分红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中小股东参会情况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盈利能力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偿债与财务稳定性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A. 已完成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已完成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成长性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B. 部分完成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部分完成</w:t>
            </w:r>
          </w:p>
        </w:tc>
        <w:tc>
          <w:tcPr>
            <w:tcW w:type="dxa" w:w="1234"/>
          </w:tcPr>
          <w:p>
            <w:r>
              <w:t>第一项已完成</w:t>
            </w:r>
          </w:p>
        </w:tc>
      </w:tr>
    </w:tbl>
    <w:p/>
    <w:p>
      <w:pPr>
        <w:jc w:val="center"/>
      </w:pPr>
      <w:r>
        <w:t>—— 报告结束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