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中级指标评价问卷（鼓励指标）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党建融入章程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党组织融入治理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服务企业发展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凝聚员工群众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培育优秀企业文化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企业优良传统提炼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诚信廉洁文化构建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文化评估和改进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产权结构合理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实施股权激励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引入外部投资者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发挥章程在公司治理中的作用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股东会规范运行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规范股东行为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董事选聘与履职管理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董事会组成及规范运行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规范组建经理层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高级管理人员聘任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监事会/审计委员会设置及权责配置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监事选聘和监事会运行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内部控制权力制衡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关联交易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内部审计与外部审计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风险管理/合规管理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风险识别、评估与预警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应对风险和机会的措施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战略管理权责分工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战略执行与监督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战略评估与调整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数字赋能战略管理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科学管理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人力资源管理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数据管理与信息安全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供应商管理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民主管理与员工权益保障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工会建设与职工民主管理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职工参与企业治理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创新能力与成果转化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创新治理体系与风险管控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数字化转型与技术成果转化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研发投入与管理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科技人才激励与培养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参与标准制定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产学研合作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知识产权管理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构建数字话利益相关者参与平台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促进稳定就业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大型企业保障中小企业款项支付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金额：______万元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倡导并维护可持续消费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股东分红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中小股东参会情况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客户满意度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治理韧性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治理创新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治理结果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委托代理成本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