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72" w:type="dxa"/>
        <w:jc w:val="left"/>
        <w:tblInd w:w="108" w:type="dxa"/>
        <w:tblLayout w:type="fixed"/>
        <w:tblCellMar>
          <w:top w:w="0" w:type="dxa"/>
          <w:left w:w="108" w:type="dxa"/>
          <w:bottom w:w="0" w:type="dxa"/>
          <w:right w:w="108" w:type="dxa"/>
        </w:tblCellMar>
      </w:tblPr>
      <w:tblGrid>
        <w:gridCol w:w="2977"/>
        <w:gridCol w:w="6095"/>
      </w:tblGrid>
      <w:tr>
        <w:trPr>
          <w:trHeight w:val="993" w:hRule="atLeast"/>
        </w:trPr>
        <w:tc>
          <w:tcPr>
            <w:tcW w:w="2977" w:type="dxa"/>
            <w:tcBorders/>
            <w:shd w:fill="FFFFFF" w:val="clear"/>
          </w:tcPr>
          <w:p>
            <w:pPr>
              <w:pStyle w:val="Normal"/>
              <w:widowControl w:val="false"/>
              <w:spacing w:lineRule="auto" w:line="240" w:before="120" w:after="120"/>
              <w:ind w:firstLine="567" w:right="0"/>
              <w:jc w:val="center"/>
              <w:rPr>
                <w:rFonts w:ascii="Times New Roman" w:hAnsi="Times New Roman" w:eastAsia="Times New Roman" w:cs="Times New Roman"/>
                <w:sz w:val="26"/>
                <w:szCs w:val="26"/>
                <w:lang w:eastAsia="vi-VN"/>
              </w:rPr>
            </w:pPr>
            <w:r>
              <mc:AlternateContent>
                <mc:Choice Requires="wps">
                  <w:drawing>
                    <wp:anchor behindDoc="0" distT="0" distB="0" distL="114935" distR="114935" simplePos="0" locked="0" layoutInCell="1" allowOverlap="1" relativeHeight="3">
                      <wp:simplePos x="0" y="0"/>
                      <wp:positionH relativeFrom="column">
                        <wp:posOffset>800735</wp:posOffset>
                      </wp:positionH>
                      <wp:positionV relativeFrom="paragraph">
                        <wp:posOffset>337185</wp:posOffset>
                      </wp:positionV>
                      <wp:extent cx="558800" cy="1270"/>
                      <wp:effectExtent l="635" t="5080" r="635" b="5080"/>
                      <wp:wrapNone/>
                      <wp:docPr id="1" name=""/>
                      <a:graphic xmlns:a="http://schemas.openxmlformats.org/drawingml/2006/main">
                        <a:graphicData uri="http://schemas.microsoft.com/office/word/2010/wordprocessingShape">
                          <wps:wsp>
                            <wps:cNvCnPr/>
                            <wps:spPr>
                              <a:xfrm>
                                <a:off x="0" y="0"/>
                                <a:ext cx="55908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63.05pt;margin-top:26.55pt;width:43.95pt;height:0.05pt" type="_x0000_t32">
                      <v:stroke color="black" weight="9360" joinstyle="miter" endcap="flat"/>
                      <v:fill o:detectmouseclick="t" on="false"/>
                      <w10:wrap type="none"/>
                    </v:shape>
                  </w:pict>
                </mc:Fallback>
              </mc:AlternateContent>
            </w:r>
            <w:r>
              <w:rPr>
                <w:rFonts w:eastAsia="Times New Roman" w:cs="Times New Roman" w:ascii="Times New Roman" w:hAnsi="Times New Roman"/>
                <w:b/>
                <w:bCs/>
                <w:sz w:val="26"/>
                <w:lang w:eastAsia="vi-VN"/>
              </w:rPr>
              <w:t>BỘ TÀI CHÍNH</w:t>
            </w:r>
            <w:r>
              <w:rPr>
                <w:rFonts w:eastAsia="Times New Roman" w:cs="Times New Roman" w:ascii="Times New Roman" w:hAnsi="Times New Roman"/>
                <w:b/>
                <w:bCs/>
                <w:sz w:val="26"/>
                <w:szCs w:val="26"/>
                <w:lang w:eastAsia="vi-VN"/>
              </w:rPr>
              <w:br/>
            </w:r>
            <w:r>
              <w:rPr>
                <w:rFonts w:eastAsia="Times New Roman" w:cs="Times New Roman" w:ascii="Times New Roman" w:hAnsi="Times New Roman"/>
                <w:b/>
                <w:bCs/>
                <w:sz w:val="26"/>
                <w:szCs w:val="26"/>
                <w:lang w:val="en-US" w:eastAsia="vi-VN"/>
              </w:rPr>
              <w:t xml:space="preserve">     </w:t>
            </w:r>
          </w:p>
        </w:tc>
        <w:tc>
          <w:tcPr>
            <w:tcW w:w="6095" w:type="dxa"/>
            <w:tcBorders/>
            <w:shd w:fill="FFFFFF" w:val="clear"/>
          </w:tcPr>
          <w:p>
            <w:pPr>
              <w:pStyle w:val="Normal"/>
              <w:widowControl w:val="false"/>
              <w:spacing w:lineRule="auto" w:line="240" w:before="120" w:after="120"/>
              <w:jc w:val="center"/>
              <w:rPr>
                <w:rFonts w:ascii="Times New Roman" w:hAnsi="Times New Roman" w:eastAsia="Times New Roman" w:cs="Times New Roman"/>
                <w:sz w:val="26"/>
                <w:szCs w:val="26"/>
                <w:lang w:eastAsia="vi-VN"/>
              </w:rPr>
            </w:pPr>
            <w:r>
              <mc:AlternateContent>
                <mc:Choice Requires="wps">
                  <w:drawing>
                    <wp:anchor behindDoc="0" distT="0" distB="0" distL="114935" distR="114935" simplePos="0" locked="0" layoutInCell="1" allowOverlap="1" relativeHeight="2">
                      <wp:simplePos x="0" y="0"/>
                      <wp:positionH relativeFrom="column">
                        <wp:posOffset>861060</wp:posOffset>
                      </wp:positionH>
                      <wp:positionV relativeFrom="paragraph">
                        <wp:posOffset>556260</wp:posOffset>
                      </wp:positionV>
                      <wp:extent cx="2000250" cy="1270"/>
                      <wp:effectExtent l="635" t="5080" r="635" b="5080"/>
                      <wp:wrapNone/>
                      <wp:docPr id="2" name=""/>
                      <a:graphic xmlns:a="http://schemas.openxmlformats.org/drawingml/2006/main">
                        <a:graphicData uri="http://schemas.microsoft.com/office/word/2010/wordprocessingShape">
                          <wps:wsp>
                            <wps:cNvCnPr/>
                            <wps:spPr>
                              <a:xfrm>
                                <a:off x="0" y="0"/>
                                <a:ext cx="200052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67.8pt;margin-top:43.8pt;width:157.45pt;height:0.1pt" type="_x0000_t32">
                      <v:stroke color="black" weight="9360" joinstyle="miter" endcap="flat"/>
                      <v:fill o:detectmouseclick="t" on="false"/>
                      <w10:wrap type="none"/>
                    </v:shape>
                  </w:pict>
                </mc:Fallback>
              </mc:AlternateContent>
            </w:r>
            <w:r>
              <w:rPr>
                <w:rFonts w:eastAsia="Times New Roman" w:cs="Times New Roman" w:ascii="Times New Roman" w:hAnsi="Times New Roman"/>
                <w:b/>
                <w:bCs/>
                <w:sz w:val="26"/>
                <w:szCs w:val="26"/>
                <w:lang w:eastAsia="vi-VN"/>
              </w:rPr>
              <w:t>CỘNG HÒA XÃ HỘI CHỦ NGHĨA VIỆT NAM</w:t>
              <w:br/>
            </w:r>
            <w:r>
              <w:rPr>
                <w:rFonts w:eastAsia="Times New Roman" w:cs="Times New Roman" w:ascii="Times New Roman" w:hAnsi="Times New Roman"/>
                <w:b/>
                <w:bCs/>
                <w:sz w:val="28"/>
                <w:szCs w:val="28"/>
                <w:lang w:eastAsia="vi-VN"/>
              </w:rPr>
              <w:t>Độc lập - Tự do - Hạnh phúc</w:t>
              <w:br/>
            </w:r>
          </w:p>
        </w:tc>
      </w:tr>
      <w:tr>
        <w:trPr/>
        <w:tc>
          <w:tcPr>
            <w:tcW w:w="2977" w:type="dxa"/>
            <w:tcBorders/>
            <w:shd w:fill="FFFFFF" w:val="clear"/>
          </w:tcPr>
          <w:p>
            <w:pPr>
              <w:pStyle w:val="Normal"/>
              <w:widowControl w:val="false"/>
              <w:spacing w:lineRule="auto" w:line="240" w:before="120" w:after="120"/>
              <w:jc w:val="center"/>
              <w:rPr/>
            </w:pPr>
            <w:r>
              <w:rPr>
                <w:rFonts w:eastAsia="Times New Roman" w:cs="Times New Roman" w:ascii="Times New Roman" w:hAnsi="Times New Roman"/>
                <w:sz w:val="26"/>
                <w:szCs w:val="26"/>
                <w:lang w:val="en-US" w:eastAsia="vi-VN"/>
              </w:rPr>
              <w:t xml:space="preserve">      </w:t>
            </w:r>
            <w:r>
              <w:rPr>
                <w:rFonts w:eastAsia="Times New Roman" w:cs="Times New Roman" w:ascii="Times New Roman" w:hAnsi="Times New Roman"/>
                <w:sz w:val="26"/>
                <w:szCs w:val="26"/>
                <w:lang w:eastAsia="vi-VN"/>
              </w:rPr>
              <w:t xml:space="preserve">Số: </w:t>
            </w:r>
            <w:r>
              <w:rPr>
                <w:rFonts w:eastAsia="Times New Roman" w:cs="Times New Roman" w:ascii="Times New Roman" w:hAnsi="Times New Roman"/>
                <w:sz w:val="26"/>
                <w:szCs w:val="26"/>
                <w:lang w:val="en-US" w:eastAsia="vi-VN"/>
              </w:rPr>
              <w:t>01</w:t>
            </w:r>
            <w:r>
              <w:rPr>
                <w:rFonts w:eastAsia="Times New Roman" w:cs="Times New Roman" w:ascii="Times New Roman" w:hAnsi="Times New Roman"/>
                <w:sz w:val="26"/>
                <w:szCs w:val="26"/>
                <w:lang w:eastAsia="vi-VN"/>
              </w:rPr>
              <w:t>/202</w:t>
            </w:r>
            <w:r>
              <w:rPr>
                <w:rFonts w:eastAsia="Times New Roman" w:cs="Times New Roman" w:ascii="Times New Roman" w:hAnsi="Times New Roman"/>
                <w:sz w:val="26"/>
                <w:szCs w:val="26"/>
                <w:lang w:val="en-US" w:eastAsia="vi-VN"/>
              </w:rPr>
              <w:t>5</w:t>
            </w:r>
            <w:r>
              <w:rPr>
                <w:rFonts w:eastAsia="Times New Roman" w:cs="Times New Roman" w:ascii="Times New Roman" w:hAnsi="Times New Roman"/>
                <w:sz w:val="26"/>
                <w:szCs w:val="26"/>
                <w:lang w:eastAsia="vi-VN"/>
              </w:rPr>
              <w:t>/TT-BTC</w:t>
            </w:r>
          </w:p>
        </w:tc>
        <w:tc>
          <w:tcPr>
            <w:tcW w:w="6095" w:type="dxa"/>
            <w:tcBorders/>
            <w:shd w:fill="FFFFFF" w:val="clear"/>
          </w:tcPr>
          <w:p>
            <w:pPr>
              <w:pStyle w:val="Normal"/>
              <w:widowControl w:val="false"/>
              <w:spacing w:lineRule="auto" w:line="240" w:before="120" w:after="120"/>
              <w:ind w:firstLine="567" w:right="0"/>
              <w:rPr>
                <w:rFonts w:ascii="Times New Roman" w:hAnsi="Times New Roman" w:eastAsia="Times New Roman" w:cs="Times New Roman"/>
                <w:i/>
                <w:i/>
                <w:sz w:val="28"/>
                <w:szCs w:val="28"/>
                <w:lang w:val="en-US" w:eastAsia="vi-VN"/>
              </w:rPr>
            </w:pPr>
            <w:r>
              <w:rPr>
                <w:rFonts w:eastAsia="Times New Roman" w:cs="Times New Roman" w:ascii="Times New Roman" w:hAnsi="Times New Roman"/>
                <w:i/>
                <w:iCs/>
                <w:sz w:val="28"/>
                <w:szCs w:val="28"/>
                <w:lang w:val="en-US" w:eastAsia="vi-VN"/>
              </w:rPr>
              <w:t xml:space="preserve">     </w:t>
            </w:r>
            <w:r>
              <w:rPr>
                <w:rFonts w:eastAsia="Times New Roman" w:cs="Times New Roman" w:ascii="Times New Roman" w:hAnsi="Times New Roman"/>
                <w:i/>
                <w:iCs/>
                <w:sz w:val="28"/>
                <w:szCs w:val="28"/>
                <w:lang w:eastAsia="vi-VN"/>
              </w:rPr>
              <w:t xml:space="preserve">Hà Nội, ngày </w:t>
            </w:r>
            <w:r>
              <w:rPr>
                <w:rFonts w:eastAsia="Times New Roman" w:cs="Times New Roman" w:ascii="Times New Roman" w:hAnsi="Times New Roman"/>
                <w:i/>
                <w:iCs/>
                <w:sz w:val="28"/>
                <w:szCs w:val="28"/>
                <w:lang w:val="en-US" w:eastAsia="vi-VN"/>
              </w:rPr>
              <w:t xml:space="preserve"> 09</w:t>
            </w:r>
            <w:r>
              <w:rPr>
                <w:rFonts w:eastAsia="Times New Roman" w:cs="Times New Roman" w:ascii="Times New Roman" w:hAnsi="Times New Roman"/>
                <w:i/>
                <w:iCs/>
                <w:sz w:val="28"/>
                <w:szCs w:val="28"/>
                <w:lang w:eastAsia="vi-VN"/>
              </w:rPr>
              <w:t xml:space="preserve"> </w:t>
            </w:r>
            <w:r>
              <w:rPr>
                <w:rFonts w:eastAsia="Times New Roman" w:cs="Times New Roman" w:ascii="Times New Roman" w:hAnsi="Times New Roman"/>
                <w:i/>
                <w:iCs/>
                <w:sz w:val="28"/>
                <w:szCs w:val="28"/>
                <w:lang w:val="en-US" w:eastAsia="vi-VN"/>
              </w:rPr>
              <w:t xml:space="preserve"> </w:t>
            </w:r>
            <w:r>
              <w:rPr>
                <w:rFonts w:eastAsia="Times New Roman" w:cs="Times New Roman" w:ascii="Times New Roman" w:hAnsi="Times New Roman"/>
                <w:i/>
                <w:iCs/>
                <w:sz w:val="28"/>
                <w:szCs w:val="28"/>
                <w:lang w:eastAsia="vi-VN"/>
              </w:rPr>
              <w:t xml:space="preserve">tháng </w:t>
            </w:r>
            <w:r>
              <w:rPr>
                <w:rFonts w:eastAsia="Times New Roman" w:cs="Times New Roman" w:ascii="Times New Roman" w:hAnsi="Times New Roman"/>
                <w:i/>
                <w:iCs/>
                <w:sz w:val="28"/>
                <w:szCs w:val="28"/>
                <w:lang w:val="en-US" w:eastAsia="vi-VN"/>
              </w:rPr>
              <w:t xml:space="preserve"> 01</w:t>
            </w:r>
            <w:r>
              <w:rPr>
                <w:rFonts w:eastAsia="Times New Roman" w:cs="Times New Roman" w:ascii="Times New Roman" w:hAnsi="Times New Roman"/>
                <w:i/>
                <w:iCs/>
                <w:sz w:val="28"/>
                <w:szCs w:val="28"/>
                <w:lang w:eastAsia="vi-VN"/>
              </w:rPr>
              <w:t xml:space="preserve"> năm 202</w:t>
            </w:r>
            <w:r>
              <w:rPr>
                <w:rFonts w:eastAsia="Times New Roman" w:cs="Times New Roman" w:ascii="Times New Roman" w:hAnsi="Times New Roman"/>
                <w:i/>
                <w:iCs/>
                <w:sz w:val="28"/>
                <w:szCs w:val="28"/>
                <w:lang w:val="en-US" w:eastAsia="vi-VN"/>
              </w:rPr>
              <w:t>5</w:t>
            </w:r>
          </w:p>
        </w:tc>
      </w:tr>
    </w:tbl>
    <w:p>
      <w:pPr>
        <w:pStyle w:val="Normal"/>
        <w:widowControl w:val="false"/>
        <w:shd w:fill="FFFFFF" w:val="clear"/>
        <w:spacing w:lineRule="auto" w:line="240" w:before="0" w:after="0"/>
        <w:ind w:firstLine="567" w:right="0"/>
        <w:rPr>
          <w:rFonts w:ascii="Times New Roman" w:hAnsi="Times New Roman" w:eastAsia="Times New Roman" w:cs="Times New Roman"/>
          <w:b/>
          <w:bCs/>
          <w:sz w:val="28"/>
          <w:szCs w:val="28"/>
          <w:lang w:eastAsia="vi-VN"/>
        </w:rPr>
      </w:pPr>
      <w:bookmarkStart w:id="0" w:name="loai_1"/>
      <w:r>
        <w:rPr>
          <w:rFonts w:eastAsia="Times New Roman" w:cs="Times New Roman" w:ascii="Times New Roman" w:hAnsi="Times New Roman"/>
          <w:b/>
          <w:bCs/>
          <w:sz w:val="28"/>
          <w:szCs w:val="28"/>
          <w:lang w:eastAsia="vi-VN"/>
        </w:rPr>
        <w:t xml:space="preserve">                                              </w:t>
      </w:r>
    </w:p>
    <w:p>
      <w:pPr>
        <w:pStyle w:val="Normal"/>
        <w:widowControl w:val="false"/>
        <w:numPr>
          <w:ilvl w:val="0"/>
          <w:numId w:val="0"/>
        </w:numPr>
        <w:shd w:fill="FFFFFF" w:val="clear"/>
        <w:spacing w:lineRule="auto" w:line="240" w:before="0" w:after="0"/>
        <w:ind w:firstLine="567" w:left="2880" w:right="0"/>
        <w:outlineLvl w:val="0"/>
        <w:rPr>
          <w:rFonts w:ascii="Times New Roman" w:hAnsi="Times New Roman" w:eastAsia="Times New Roman" w:cs="Times New Roman"/>
          <w:sz w:val="28"/>
          <w:szCs w:val="28"/>
          <w:lang w:eastAsia="vi-VN"/>
        </w:rPr>
      </w:pPr>
      <w:r>
        <w:rPr>
          <w:rFonts w:eastAsia="Times New Roman" w:cs="Times New Roman" w:ascii="Times New Roman" w:hAnsi="Times New Roman"/>
          <w:b/>
          <w:bCs/>
          <w:sz w:val="28"/>
          <w:szCs w:val="28"/>
          <w:lang w:eastAsia="vi-VN"/>
        </w:rPr>
        <w:t xml:space="preserve">     </w:t>
      </w:r>
      <w:r>
        <w:rPr>
          <w:rFonts w:eastAsia="Times New Roman" w:cs="Times New Roman" w:ascii="Times New Roman" w:hAnsi="Times New Roman"/>
          <w:b/>
          <w:bCs/>
          <w:sz w:val="28"/>
          <w:szCs w:val="28"/>
          <w:lang w:eastAsia="vi-VN"/>
        </w:rPr>
        <w:t>THÔNG TƯ</w:t>
      </w:r>
      <w:bookmarkEnd w:id="0"/>
    </w:p>
    <w:p>
      <w:pPr>
        <w:pStyle w:val="Normal"/>
        <w:widowControl w:val="false"/>
        <w:shd w:fill="FFFFFF" w:val="clear"/>
        <w:spacing w:lineRule="auto" w:line="240" w:before="0" w:after="0"/>
        <w:ind w:firstLine="567" w:right="0"/>
        <w:jc w:val="center"/>
        <w:rPr>
          <w:rFonts w:ascii="Times New Roman" w:hAnsi="Times New Roman" w:eastAsia="Times New Roman" w:cs="Times New Roman"/>
          <w:b/>
          <w:sz w:val="28"/>
          <w:szCs w:val="28"/>
          <w:lang w:val="en-US" w:eastAsia="vi-VN"/>
        </w:rPr>
      </w:pPr>
      <w:bookmarkStart w:id="1" w:name="loai_1_name"/>
      <w:bookmarkEnd w:id="1"/>
      <w:r>
        <w:rPr>
          <w:rFonts w:eastAsia="Times New Roman" w:cs="Times New Roman" w:ascii="Times New Roman" w:hAnsi="Times New Roman"/>
          <w:b/>
          <w:sz w:val="28"/>
          <w:szCs w:val="28"/>
          <w:lang w:eastAsia="vi-VN"/>
        </w:rPr>
        <w:t xml:space="preserve">Quy định chế độ quản lý, tính hao mòn, trích khấu hao </w:t>
      </w:r>
    </w:p>
    <w:p>
      <w:pPr>
        <w:pStyle w:val="Normal"/>
        <w:widowControl w:val="false"/>
        <w:shd w:fill="FFFFFF" w:val="clear"/>
        <w:spacing w:lineRule="auto" w:line="240" w:before="0" w:after="0"/>
        <w:ind w:firstLine="567" w:right="0"/>
        <w:jc w:val="center"/>
        <w:rPr>
          <w:rFonts w:ascii="Times New Roman" w:hAnsi="Times New Roman" w:eastAsia="Times New Roman" w:cs="Times New Roman"/>
          <w:b/>
          <w:sz w:val="28"/>
          <w:szCs w:val="28"/>
          <w:lang w:val="en-US" w:eastAsia="vi-VN"/>
        </w:rPr>
      </w:pPr>
      <w:r>
        <w:rPr>
          <w:rFonts w:eastAsia="Times New Roman" w:cs="Times New Roman" w:ascii="Times New Roman" w:hAnsi="Times New Roman"/>
          <w:b/>
          <w:sz w:val="28"/>
          <w:szCs w:val="28"/>
          <w:lang w:eastAsia="vi-VN"/>
        </w:rPr>
        <w:t>tài sản kết cấu hạ tầng chợ</w:t>
      </w:r>
      <w:r>
        <w:rPr>
          <w:rFonts w:eastAsia="Times New Roman" w:cs="Times New Roman" w:ascii="Times New Roman" w:hAnsi="Times New Roman"/>
          <w:b/>
          <w:sz w:val="28"/>
          <w:szCs w:val="28"/>
          <w:lang w:val="en-US" w:eastAsia="vi-VN"/>
        </w:rPr>
        <w:t xml:space="preserve"> </w:t>
      </w:r>
    </w:p>
    <w:p>
      <w:pPr>
        <w:pStyle w:val="Normal"/>
        <w:widowControl w:val="false"/>
        <w:shd w:fill="FFFFFF" w:val="clear"/>
        <w:spacing w:lineRule="auto" w:line="240" w:before="0" w:after="0"/>
        <w:ind w:firstLine="567" w:right="0"/>
        <w:jc w:val="center"/>
        <w:rPr>
          <w:rFonts w:ascii="Times New Roman" w:hAnsi="Times New Roman" w:eastAsia="Times New Roman" w:cs="Times New Roman"/>
          <w:b/>
          <w:sz w:val="28"/>
          <w:szCs w:val="28"/>
          <w:lang w:val="en-US" w:eastAsia="vi-VN"/>
        </w:rPr>
      </w:pPr>
      <w:r>
        <w:rPr>
          <w:rFonts w:eastAsia="Times New Roman" w:cs="Times New Roman" w:ascii="Times New Roman" w:hAnsi="Times New Roman"/>
          <w:b/>
          <w:sz w:val="28"/>
          <w:szCs w:val="28"/>
          <w:lang w:val="en-US" w:eastAsia="vi-VN"/>
        </w:rPr>
        <mc:AlternateContent>
          <mc:Choice Requires="wps">
            <w:drawing>
              <wp:anchor behindDoc="0" distT="0" distB="0" distL="114935" distR="114935" simplePos="0" locked="0" layoutInCell="1" allowOverlap="1" relativeHeight="4">
                <wp:simplePos x="0" y="0"/>
                <wp:positionH relativeFrom="column">
                  <wp:posOffset>2470785</wp:posOffset>
                </wp:positionH>
                <wp:positionV relativeFrom="paragraph">
                  <wp:posOffset>116840</wp:posOffset>
                </wp:positionV>
                <wp:extent cx="761365" cy="1270"/>
                <wp:effectExtent l="635" t="5080" r="635" b="5080"/>
                <wp:wrapNone/>
                <wp:docPr id="3" name=""/>
                <a:graphic xmlns:a="http://schemas.openxmlformats.org/drawingml/2006/main">
                  <a:graphicData uri="http://schemas.microsoft.com/office/word/2010/wordprocessingShape">
                    <wps:wsp>
                      <wps:cNvCnPr/>
                      <wps:spPr>
                        <a:xfrm>
                          <a:off x="0" y="0"/>
                          <a:ext cx="761760" cy="144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94.55pt;margin-top:9.2pt;width:59.95pt;height:0.05pt" type="_x0000_t32">
                <v:stroke color="black" weight="9360" joinstyle="miter" endcap="flat"/>
                <v:fill o:detectmouseclick="t" on="false"/>
                <w10:wrap type="none"/>
              </v:shape>
            </w:pict>
          </mc:Fallback>
        </mc:AlternateContent>
      </w:r>
    </w:p>
    <w:p>
      <w:pPr>
        <w:pStyle w:val="Normal"/>
        <w:widowControl w:val="false"/>
        <w:shd w:fill="FFFFFF" w:val="clear"/>
        <w:spacing w:lineRule="auto" w:line="240" w:before="120" w:after="120"/>
        <w:ind w:firstLine="562" w:right="0"/>
        <w:jc w:val="both"/>
        <w:rPr>
          <w:rFonts w:ascii="Times New Roman" w:hAnsi="Times New Roman" w:eastAsia="Times New Roman" w:cs="Times New Roman"/>
          <w:i/>
          <w:i/>
          <w:iCs/>
          <w:sz w:val="28"/>
          <w:szCs w:val="28"/>
          <w:lang w:eastAsia="vi-VN"/>
        </w:rPr>
      </w:pPr>
      <w:bookmarkStart w:id="2" w:name="loai_1_name"/>
      <w:bookmarkEnd w:id="2"/>
      <w:r>
        <w:rPr>
          <w:rFonts w:eastAsia="Times New Roman" w:cs="Times New Roman" w:ascii="Times New Roman" w:hAnsi="Times New Roman"/>
          <w:i/>
          <w:iCs/>
          <w:sz w:val="28"/>
          <w:szCs w:val="28"/>
          <w:lang w:eastAsia="vi-VN"/>
        </w:rPr>
        <w:t>Căn cứ Luật Quản lý, sử dụng tài sản công ngày 21 tháng 6 năm 2017;</w:t>
      </w:r>
    </w:p>
    <w:p>
      <w:pPr>
        <w:pStyle w:val="Normal"/>
        <w:widowControl w:val="false"/>
        <w:shd w:fill="FFFFFF" w:val="clear"/>
        <w:spacing w:lineRule="auto" w:line="240" w:before="120" w:after="120"/>
        <w:ind w:firstLine="562" w:right="0"/>
        <w:jc w:val="both"/>
        <w:rPr>
          <w:rFonts w:ascii="Times New Roman" w:hAnsi="Times New Roman" w:eastAsia="Times New Roman" w:cs="Times New Roman"/>
          <w:i/>
          <w:i/>
          <w:iCs/>
          <w:sz w:val="28"/>
          <w:szCs w:val="28"/>
          <w:lang w:eastAsia="vi-VN"/>
        </w:rPr>
      </w:pPr>
      <w:r>
        <w:rPr>
          <w:rFonts w:eastAsia="Times New Roman" w:cs="Times New Roman" w:ascii="Times New Roman" w:hAnsi="Times New Roman"/>
          <w:i/>
          <w:iCs/>
          <w:sz w:val="28"/>
          <w:szCs w:val="28"/>
          <w:lang w:eastAsia="vi-VN"/>
        </w:rPr>
        <w:t>Căn cứ Luật sửa đổi, bổ sung một số điều của Luật Chứng khoán; Luật Kế toán; Luật Kiểm toán độc lập</w:t>
      </w:r>
      <w:r>
        <w:rPr>
          <w:rFonts w:eastAsia="Times New Roman" w:cs="Times New Roman" w:ascii="Times New Roman" w:hAnsi="Times New Roman"/>
          <w:i/>
          <w:iCs/>
          <w:sz w:val="28"/>
          <w:szCs w:val="28"/>
          <w:lang w:val="en-US" w:eastAsia="vi-VN"/>
        </w:rPr>
        <w:t>;</w:t>
      </w:r>
      <w:r>
        <w:rPr>
          <w:rFonts w:eastAsia="Times New Roman" w:cs="Times New Roman" w:ascii="Times New Roman" w:hAnsi="Times New Roman"/>
          <w:i/>
          <w:iCs/>
          <w:sz w:val="28"/>
          <w:szCs w:val="28"/>
          <w:lang w:eastAsia="vi-VN"/>
        </w:rPr>
        <w:t xml:space="preserve"> Luật Ngân sách nhà nước; Luật Quản lý, sử dụng tài sản công; Luật Quản lý thuế; Luật Thuế thu nhập cá nhân; Luật Dự trữ Quốc gia; Luật Xử lý vi phạm hành chính ngày 29 tháng 11 năm 2024;</w:t>
      </w:r>
    </w:p>
    <w:p>
      <w:pPr>
        <w:pStyle w:val="Normal"/>
        <w:widowControl w:val="false"/>
        <w:shd w:fill="FFFFFF" w:val="clear"/>
        <w:spacing w:lineRule="auto" w:line="240" w:before="120" w:after="120"/>
        <w:ind w:firstLine="562" w:right="0"/>
        <w:jc w:val="both"/>
        <w:rPr>
          <w:rFonts w:ascii="Times New Roman" w:hAnsi="Times New Roman" w:eastAsia="Times New Roman" w:cs="Times New Roman"/>
          <w:i/>
          <w:i/>
          <w:sz w:val="28"/>
          <w:szCs w:val="28"/>
          <w:lang w:eastAsia="vi-VN"/>
        </w:rPr>
      </w:pPr>
      <w:r>
        <w:rPr>
          <w:rFonts w:eastAsia="Times New Roman" w:cs="Times New Roman" w:ascii="Times New Roman" w:hAnsi="Times New Roman"/>
          <w:i/>
          <w:iCs/>
          <w:sz w:val="28"/>
          <w:szCs w:val="28"/>
          <w:lang w:eastAsia="vi-VN"/>
        </w:rPr>
        <w:t>Căn cứ Nghị định số </w:t>
      </w:r>
      <w:hyperlink r:id="rId2" w:tgtFrame="_blank">
        <w:r>
          <w:rPr>
            <w:rStyle w:val="Hyperlink"/>
            <w:rFonts w:eastAsia="Times New Roman" w:cs="Times New Roman" w:ascii="Times New Roman" w:hAnsi="Times New Roman"/>
            <w:i/>
            <w:iCs/>
            <w:sz w:val="28"/>
            <w:szCs w:val="28"/>
            <w:lang w:eastAsia="vi-VN"/>
          </w:rPr>
          <w:t>60/2024/NĐ-CP</w:t>
        </w:r>
      </w:hyperlink>
      <w:r>
        <w:rPr>
          <w:rFonts w:eastAsia="Times New Roman" w:cs="Times New Roman" w:ascii="Times New Roman" w:hAnsi="Times New Roman"/>
          <w:i/>
          <w:iCs/>
          <w:sz w:val="28"/>
          <w:szCs w:val="28"/>
          <w:lang w:eastAsia="vi-VN"/>
        </w:rPr>
        <w:t> ngày 0</w:t>
      </w:r>
      <w:r>
        <w:rPr>
          <w:rFonts w:eastAsia="Times New Roman" w:cs="Times New Roman" w:ascii="Times New Roman" w:hAnsi="Times New Roman"/>
          <w:i/>
          <w:iCs/>
          <w:sz w:val="28"/>
          <w:szCs w:val="28"/>
          <w:lang w:val="en-US" w:eastAsia="vi-VN"/>
        </w:rPr>
        <w:t xml:space="preserve">5 </w:t>
      </w:r>
      <w:r>
        <w:rPr>
          <w:rFonts w:eastAsia="Times New Roman" w:cs="Times New Roman" w:ascii="Times New Roman" w:hAnsi="Times New Roman"/>
          <w:i/>
          <w:iCs/>
          <w:sz w:val="28"/>
          <w:szCs w:val="28"/>
          <w:lang w:eastAsia="vi-VN"/>
        </w:rPr>
        <w:t xml:space="preserve">tháng 6 năm 2024 của Chính phủ quy định về </w:t>
      </w:r>
      <w:r>
        <w:rPr>
          <w:rFonts w:cs="Times New Roman" w:ascii="Times New Roman" w:hAnsi="Times New Roman"/>
          <w:i/>
          <w:iCs/>
          <w:sz w:val="28"/>
          <w:szCs w:val="28"/>
          <w:shd w:fill="FFFFFF" w:val="clear"/>
        </w:rPr>
        <w:t>phát triển và quản lý chợ</w:t>
      </w:r>
      <w:r>
        <w:rPr>
          <w:rFonts w:eastAsia="Times New Roman" w:cs="Times New Roman" w:ascii="Times New Roman" w:hAnsi="Times New Roman"/>
          <w:i/>
          <w:iCs/>
          <w:sz w:val="28"/>
          <w:szCs w:val="28"/>
          <w:lang w:eastAsia="vi-VN"/>
        </w:rPr>
        <w:t>;</w:t>
      </w:r>
    </w:p>
    <w:p>
      <w:pPr>
        <w:pStyle w:val="Normal"/>
        <w:widowControl w:val="false"/>
        <w:shd w:fill="FFFFFF" w:val="clear"/>
        <w:spacing w:lineRule="auto" w:line="240" w:before="120" w:after="120"/>
        <w:ind w:firstLine="562" w:right="0"/>
        <w:jc w:val="both"/>
        <w:rPr>
          <w:rFonts w:ascii="Times New Roman" w:hAnsi="Times New Roman" w:eastAsia="Times New Roman" w:cs="Times New Roman"/>
          <w:i/>
          <w:i/>
          <w:sz w:val="28"/>
          <w:szCs w:val="28"/>
          <w:lang w:eastAsia="vi-VN"/>
        </w:rPr>
      </w:pPr>
      <w:r>
        <w:rPr>
          <w:rFonts w:eastAsia="Times New Roman" w:cs="Times New Roman" w:ascii="Times New Roman" w:hAnsi="Times New Roman"/>
          <w:i/>
          <w:iCs/>
          <w:sz w:val="28"/>
          <w:szCs w:val="28"/>
          <w:lang w:eastAsia="vi-VN"/>
        </w:rPr>
        <w:t>Căn cứ Nghị định số </w:t>
      </w:r>
      <w:hyperlink r:id="rId3" w:tgtFrame="_blank">
        <w:r>
          <w:rPr>
            <w:rStyle w:val="Hyperlink"/>
            <w:rFonts w:eastAsia="Times New Roman" w:cs="Times New Roman" w:ascii="Times New Roman" w:hAnsi="Times New Roman"/>
            <w:i/>
            <w:iCs/>
            <w:sz w:val="28"/>
            <w:szCs w:val="28"/>
            <w:lang w:eastAsia="vi-VN"/>
          </w:rPr>
          <w:t>14/2023/NĐ-CP</w:t>
        </w:r>
      </w:hyperlink>
      <w:r>
        <w:rPr>
          <w:rFonts w:eastAsia="Times New Roman" w:cs="Times New Roman" w:ascii="Times New Roman" w:hAnsi="Times New Roman"/>
          <w:i/>
          <w:iCs/>
          <w:sz w:val="28"/>
          <w:szCs w:val="28"/>
          <w:lang w:eastAsia="vi-VN"/>
        </w:rPr>
        <w:t xml:space="preserve"> ngày 20 tháng 4 năm 2023 của Chính phủ quy định về chức năng, nhiệm vụ, quyền hạn và cơ cấu tổ chức của Bộ Tài chính;</w:t>
      </w:r>
    </w:p>
    <w:p>
      <w:pPr>
        <w:pStyle w:val="Normal"/>
        <w:widowControl w:val="false"/>
        <w:shd w:fill="FFFFFF" w:val="clear"/>
        <w:spacing w:lineRule="auto" w:line="240" w:before="120" w:after="120"/>
        <w:ind w:firstLine="562" w:right="0"/>
        <w:jc w:val="both"/>
        <w:rPr>
          <w:rFonts w:ascii="Times New Roman" w:hAnsi="Times New Roman" w:eastAsia="Times New Roman" w:cs="Times New Roman"/>
          <w:i/>
          <w:i/>
          <w:sz w:val="28"/>
          <w:szCs w:val="28"/>
          <w:lang w:val="en-US" w:eastAsia="vi-VN"/>
        </w:rPr>
      </w:pPr>
      <w:r>
        <w:rPr>
          <w:rFonts w:eastAsia="Times New Roman" w:cs="Times New Roman" w:ascii="Times New Roman" w:hAnsi="Times New Roman"/>
          <w:i/>
          <w:iCs/>
          <w:sz w:val="28"/>
          <w:szCs w:val="28"/>
          <w:lang w:eastAsia="vi-VN"/>
        </w:rPr>
        <w:t>Theo đề nghị của Cục trưởng Cục Quản lý công sản</w:t>
      </w:r>
      <w:r>
        <w:rPr>
          <w:rFonts w:eastAsia="Times New Roman" w:cs="Times New Roman" w:ascii="Times New Roman" w:hAnsi="Times New Roman"/>
          <w:i/>
          <w:iCs/>
          <w:sz w:val="28"/>
          <w:szCs w:val="28"/>
          <w:lang w:val="en-US" w:eastAsia="vi-VN"/>
        </w:rPr>
        <w:t>;</w:t>
      </w:r>
    </w:p>
    <w:p>
      <w:pPr>
        <w:pStyle w:val="Normal"/>
        <w:widowControl w:val="false"/>
        <w:shd w:fill="FFFFFF" w:val="clear"/>
        <w:spacing w:lineRule="auto" w:line="240" w:before="120" w:after="120"/>
        <w:ind w:firstLine="562" w:right="0"/>
        <w:jc w:val="both"/>
        <w:rPr>
          <w:rFonts w:ascii="Times New Roman" w:hAnsi="Times New Roman" w:eastAsia="Times New Roman" w:cs="Times New Roman"/>
          <w:i/>
          <w:i/>
          <w:iCs/>
          <w:sz w:val="28"/>
          <w:szCs w:val="28"/>
          <w:lang w:eastAsia="vi-VN"/>
        </w:rPr>
      </w:pPr>
      <w:r>
        <w:rPr>
          <w:rFonts w:eastAsia="Times New Roman" w:cs="Times New Roman" w:ascii="Times New Roman" w:hAnsi="Times New Roman"/>
          <w:i/>
          <w:iCs/>
          <w:sz w:val="28"/>
          <w:szCs w:val="28"/>
          <w:lang w:eastAsia="vi-VN"/>
        </w:rPr>
        <w:t>Bộ trưởng Bộ Tài chính ban hành Thông tư quy định chế độ quản lý, tính hao mòn, trích khấu hao tài sản kết cấu hạ tầng chợ.</w:t>
      </w:r>
    </w:p>
    <w:p>
      <w:pPr>
        <w:pStyle w:val="Normal"/>
        <w:widowControl w:val="false"/>
        <w:shd w:fill="FFFFFF" w:val="clear"/>
        <w:spacing w:lineRule="auto" w:line="240" w:before="120" w:after="120"/>
        <w:ind w:firstLine="567" w:right="0"/>
        <w:jc w:val="center"/>
        <w:rPr>
          <w:rFonts w:ascii="Times New Roman" w:hAnsi="Times New Roman" w:eastAsia="Times New Roman" w:cs="Times New Roman"/>
          <w:b/>
          <w:bCs/>
          <w:sz w:val="28"/>
          <w:szCs w:val="28"/>
          <w:lang w:eastAsia="vi-VN"/>
        </w:rPr>
      </w:pPr>
      <w:bookmarkStart w:id="3" w:name="chuong_1"/>
      <w:r>
        <w:rPr>
          <w:rFonts w:eastAsia="Times New Roman" w:cs="Times New Roman" w:ascii="Times New Roman" w:hAnsi="Times New Roman"/>
          <w:b/>
          <w:bCs/>
          <w:sz w:val="28"/>
          <w:szCs w:val="28"/>
          <w:lang w:eastAsia="vi-VN"/>
        </w:rPr>
        <w:t>Chương I</w:t>
      </w:r>
      <w:bookmarkEnd w:id="3"/>
    </w:p>
    <w:p>
      <w:pPr>
        <w:pStyle w:val="Normal"/>
        <w:widowControl w:val="false"/>
        <w:shd w:fill="FFFFFF" w:val="clear"/>
        <w:spacing w:lineRule="auto" w:line="240" w:before="0" w:after="0"/>
        <w:ind w:firstLine="567" w:right="0"/>
        <w:jc w:val="center"/>
        <w:rPr>
          <w:rFonts w:ascii="Times New Roman" w:hAnsi="Times New Roman" w:eastAsia="Times New Roman" w:cs="Times New Roman"/>
          <w:b/>
          <w:bCs/>
          <w:sz w:val="26"/>
          <w:szCs w:val="26"/>
          <w:lang w:eastAsia="vi-VN"/>
        </w:rPr>
      </w:pPr>
      <w:bookmarkStart w:id="4" w:name="chuong_1_name"/>
      <w:r>
        <w:rPr>
          <w:rFonts w:eastAsia="Times New Roman" w:cs="Times New Roman" w:ascii="Times New Roman" w:hAnsi="Times New Roman"/>
          <w:b/>
          <w:bCs/>
          <w:sz w:val="26"/>
          <w:szCs w:val="26"/>
          <w:lang w:eastAsia="vi-VN"/>
        </w:rPr>
        <w:t>PHẠM VI ĐIỀU CHỈNH, ĐỐI TƯỢNG ÁP DỤNG</w:t>
      </w:r>
      <w:bookmarkEnd w:id="4"/>
    </w:p>
    <w:p>
      <w:pPr>
        <w:pStyle w:val="Normal"/>
        <w:widowControl w:val="false"/>
        <w:numPr>
          <w:ilvl w:val="0"/>
          <w:numId w:val="0"/>
        </w:numPr>
        <w:shd w:fill="FFFFFF" w:val="clear"/>
        <w:spacing w:lineRule="auto" w:line="240" w:before="120" w:after="120"/>
        <w:ind w:firstLine="567" w:right="0"/>
        <w:jc w:val="both"/>
        <w:outlineLvl w:val="0"/>
        <w:rPr>
          <w:rFonts w:ascii="Times New Roman" w:hAnsi="Times New Roman" w:eastAsia="Times New Roman" w:cs="Times New Roman"/>
          <w:sz w:val="28"/>
          <w:szCs w:val="28"/>
          <w:lang w:eastAsia="vi-VN"/>
        </w:rPr>
      </w:pPr>
      <w:bookmarkStart w:id="5" w:name="dieu_1"/>
      <w:r>
        <w:rPr>
          <w:rFonts w:eastAsia="Times New Roman" w:cs="Times New Roman" w:ascii="Times New Roman" w:hAnsi="Times New Roman"/>
          <w:b/>
          <w:bCs/>
          <w:sz w:val="28"/>
          <w:szCs w:val="28"/>
          <w:lang w:eastAsia="vi-VN"/>
        </w:rPr>
        <w:t>Điều 1. Phạm vi điều chỉnh</w:t>
      </w:r>
      <w:bookmarkEnd w:id="5"/>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1. Thông tư này quy định chế độ quản lý, tính hao mòn, trích khấu hao đối với tài sản kết cấu hạ tầng chợ là tài sản cố định do Nhà nước đầu tư, quản lý (sau đây gọi là tài sản kết cấu hạ tầng chợ) quy định tại khoản 16 Điều 3 Nghị định số </w:t>
      </w:r>
      <w:hyperlink r:id="rId4" w:tgtFrame="_blank">
        <w:r>
          <w:rPr>
            <w:rStyle w:val="Hyperlink"/>
            <w:rFonts w:eastAsia="Times New Roman" w:cs="Times New Roman" w:ascii="Times New Roman" w:hAnsi="Times New Roman"/>
            <w:iCs/>
            <w:color w:val="000000"/>
            <w:sz w:val="28"/>
            <w:szCs w:val="28"/>
            <w:u w:val="none"/>
            <w:lang w:eastAsia="vi-VN"/>
          </w:rPr>
          <w:t>60/2024/NĐ-CP</w:t>
        </w:r>
      </w:hyperlink>
      <w:r>
        <w:rPr>
          <w:rFonts w:cs="Times New Roman" w:ascii="Times New Roman" w:hAnsi="Times New Roman"/>
        </w:rPr>
        <w:t xml:space="preserve"> </w:t>
      </w:r>
      <w:r>
        <w:rPr>
          <w:rFonts w:eastAsia="Times New Roman" w:cs="Times New Roman" w:ascii="Times New Roman" w:hAnsi="Times New Roman"/>
          <w:iCs/>
          <w:sz w:val="28"/>
          <w:szCs w:val="28"/>
          <w:lang w:eastAsia="vi-VN"/>
        </w:rPr>
        <w:t>ngày 05 tháng 6 năm 2024 của Chính phủ</w:t>
      </w:r>
      <w:r>
        <w:rPr>
          <w:rFonts w:eastAsia="Times New Roman" w:cs="Times New Roman" w:ascii="Times New Roman" w:hAnsi="Times New Roman"/>
          <w:sz w:val="28"/>
          <w:szCs w:val="28"/>
          <w:lang w:eastAsia="vi-VN"/>
        </w:rPr>
        <w:t xml:space="preserve"> </w:t>
      </w:r>
      <w:r>
        <w:rPr>
          <w:rFonts w:eastAsia="Times New Roman" w:cs="Times New Roman" w:ascii="Times New Roman" w:hAnsi="Times New Roman"/>
          <w:iCs/>
          <w:sz w:val="28"/>
          <w:szCs w:val="28"/>
          <w:lang w:eastAsia="vi-VN"/>
        </w:rPr>
        <w:t>quy định về phát triển và quản lý chợ</w:t>
      </w:r>
      <w:r>
        <w:rPr>
          <w:rFonts w:eastAsia="Times New Roman" w:cs="Times New Roman" w:ascii="Times New Roman" w:hAnsi="Times New Roman"/>
          <w:sz w:val="28"/>
          <w:szCs w:val="28"/>
          <w:lang w:eastAsia="vi-VN"/>
        </w:rPr>
        <w:t xml:space="preserve"> giao cho cơ quan, đơn vị quản lý theo quy định tại</w:t>
      </w:r>
      <w:r>
        <w:rPr>
          <w:rFonts w:eastAsia="Times New Roman" w:cs="Times New Roman" w:ascii="Times New Roman" w:hAnsi="Times New Roman"/>
          <w:iCs/>
          <w:sz w:val="28"/>
          <w:szCs w:val="28"/>
          <w:lang w:eastAsia="vi-VN"/>
        </w:rPr>
        <w:t xml:space="preserve"> Chương IV </w:t>
      </w:r>
      <w:r>
        <w:rPr>
          <w:rFonts w:eastAsia="Times New Roman" w:cs="Times New Roman" w:ascii="Times New Roman" w:hAnsi="Times New Roman"/>
          <w:sz w:val="28"/>
          <w:szCs w:val="28"/>
          <w:lang w:eastAsia="vi-VN"/>
        </w:rPr>
        <w:t>Nghị định số </w:t>
      </w:r>
      <w:hyperlink r:id="rId5" w:tgtFrame="_blank">
        <w:r>
          <w:rPr>
            <w:rStyle w:val="Hyperlink"/>
            <w:rFonts w:eastAsia="Times New Roman" w:cs="Times New Roman" w:ascii="Times New Roman" w:hAnsi="Times New Roman"/>
            <w:iCs/>
            <w:color w:val="000000"/>
            <w:sz w:val="28"/>
            <w:szCs w:val="28"/>
            <w:u w:val="none"/>
            <w:lang w:eastAsia="vi-VN"/>
          </w:rPr>
          <w:t>60/2024/NĐ-CP</w:t>
        </w:r>
      </w:hyperlink>
      <w:r>
        <w:rPr>
          <w:rFonts w:cs="Times New Roman" w:ascii="Times New Roman" w:hAnsi="Times New Roma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pacing w:val="2"/>
          <w:sz w:val="28"/>
          <w:szCs w:val="28"/>
          <w:lang w:eastAsia="vi-VN"/>
        </w:rPr>
      </w:pPr>
      <w:r>
        <w:rPr>
          <w:rFonts w:eastAsia="Times New Roman" w:cs="Times New Roman" w:ascii="Times New Roman" w:hAnsi="Times New Roman"/>
          <w:sz w:val="28"/>
          <w:szCs w:val="28"/>
          <w:lang w:eastAsia="vi-VN"/>
        </w:rPr>
        <w:t xml:space="preserve">2. Thông tư này không áp dụng đối với trường hợp </w:t>
      </w:r>
      <w:r>
        <w:rPr>
          <w:rFonts w:eastAsia="Times New Roman" w:cs="Times New Roman" w:ascii="Times New Roman" w:hAnsi="Times New Roman"/>
          <w:spacing w:val="2"/>
          <w:sz w:val="28"/>
          <w:szCs w:val="28"/>
          <w:lang w:eastAsia="vi-VN"/>
        </w:rPr>
        <w:t>tài sản kết cấu hạ tầng chợ giao cho doanh nghiệp quản lý theo hình thức đầu tư vốn nhà nước vào doanh nghiệp.</w:t>
      </w:r>
    </w:p>
    <w:p>
      <w:pPr>
        <w:pStyle w:val="Normal"/>
        <w:widowControl w:val="false"/>
        <w:numPr>
          <w:ilvl w:val="0"/>
          <w:numId w:val="0"/>
        </w:numPr>
        <w:shd w:fill="FFFFFF" w:val="clear"/>
        <w:spacing w:lineRule="auto" w:line="240" w:before="120" w:after="120"/>
        <w:ind w:firstLine="567" w:right="0"/>
        <w:jc w:val="both"/>
        <w:outlineLvl w:val="0"/>
        <w:rPr>
          <w:rFonts w:ascii="Times New Roman" w:hAnsi="Times New Roman" w:eastAsia="Times New Roman" w:cs="Times New Roman"/>
          <w:spacing w:val="2"/>
          <w:sz w:val="28"/>
          <w:szCs w:val="28"/>
          <w:lang w:eastAsia="vi-VN"/>
        </w:rPr>
      </w:pPr>
      <w:bookmarkStart w:id="6" w:name="dieu_2"/>
      <w:r>
        <w:rPr>
          <w:rFonts w:eastAsia="Times New Roman" w:cs="Times New Roman" w:ascii="Times New Roman" w:hAnsi="Times New Roman"/>
          <w:spacing w:val="2"/>
          <w:sz w:val="28"/>
          <w:szCs w:val="28"/>
          <w:lang w:eastAsia="vi-VN"/>
        </w:rPr>
        <w:t>3. Đối với tài sản kết cấu hạ tầng chợ không đủ tiêu chuẩn là tài sản cố định theo quy định tại Điều 3 Thông tư này thì thực hiện mở sổ theo dõi tài sản là công cụ dụng cụ theo quy định của pháp luật về chế độ kế toán.</w:t>
      </w:r>
    </w:p>
    <w:p>
      <w:pPr>
        <w:pStyle w:val="Normal"/>
        <w:widowControl w:val="false"/>
        <w:numPr>
          <w:ilvl w:val="0"/>
          <w:numId w:val="0"/>
        </w:numPr>
        <w:shd w:fill="FFFFFF" w:val="clear"/>
        <w:spacing w:lineRule="auto" w:line="240" w:before="120" w:after="120"/>
        <w:ind w:firstLine="567" w:right="0"/>
        <w:jc w:val="both"/>
        <w:outlineLvl w:val="0"/>
        <w:rPr>
          <w:rFonts w:ascii="Times New Roman" w:hAnsi="Times New Roman" w:eastAsia="Times New Roman" w:cs="Times New Roman"/>
          <w:sz w:val="28"/>
          <w:szCs w:val="28"/>
          <w:lang w:eastAsia="vi-VN"/>
        </w:rPr>
      </w:pPr>
      <w:bookmarkStart w:id="7" w:name="dieu_2"/>
      <w:r>
        <w:rPr>
          <w:rFonts w:eastAsia="Times New Roman" w:cs="Times New Roman" w:ascii="Times New Roman" w:hAnsi="Times New Roman"/>
          <w:b/>
          <w:bCs/>
          <w:sz w:val="28"/>
          <w:szCs w:val="28"/>
          <w:lang w:eastAsia="vi-VN"/>
        </w:rPr>
        <w:t>Điều 2. Đối tượng áp dụng</w:t>
      </w:r>
      <w:bookmarkEnd w:id="7"/>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1. Cơ quan, đơn vị được giao quản lý tài sản kết cấu hạ tầng chợ theo quy định tại Chương IV Nghị định số </w:t>
      </w:r>
      <w:hyperlink r:id="rId6" w:tgtFrame="_blank">
        <w:r>
          <w:rPr>
            <w:rStyle w:val="Hyperlink"/>
            <w:rFonts w:cs="Times New Roman" w:ascii="Times New Roman" w:hAnsi="Times New Roman"/>
            <w:sz w:val="28"/>
            <w:szCs w:val="28"/>
          </w:rPr>
          <w:t>60/2024/NĐ-CP</w:t>
        </w:r>
      </w:hyperlink>
      <w:r>
        <w:rPr>
          <w:rFonts w:eastAsia="Times New Roman" w:cs="Times New Roman" w:ascii="Times New Roman" w:hAnsi="Times New Roman"/>
          <w:sz w:val="28"/>
          <w:szCs w:val="28"/>
          <w:lang w:eastAsia="vi-VN"/>
        </w:rPr>
        <w:t xml:space="preserve"> gồm:</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a) Đơn vị sự nghiệp công lập</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b) Cơ quan chuyên môn về tài sản kết cấu hạ tầng chợ cấp tỉnh</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c) Cơ quan chuyên môn về tài sản kết cấu hạ tầng chợ cấp huyện</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d) Ủy ban nhân dân cấp xã.</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2. Các đối tượng khác liên quan đến quản lý, tính hao mòn, trích khấu hao tài sản kết cấu hạ tầng chợ.</w:t>
      </w:r>
    </w:p>
    <w:p>
      <w:pPr>
        <w:pStyle w:val="Normal"/>
        <w:widowControl w:val="false"/>
        <w:shd w:fill="FFFFFF" w:val="clear"/>
        <w:spacing w:lineRule="auto" w:line="240" w:before="120" w:after="120"/>
        <w:ind w:firstLine="567" w:right="0"/>
        <w:jc w:val="center"/>
        <w:rPr>
          <w:rFonts w:ascii="Times New Roman" w:hAnsi="Times New Roman" w:eastAsia="Times New Roman" w:cs="Times New Roman"/>
          <w:b/>
          <w:bCs/>
          <w:sz w:val="28"/>
          <w:szCs w:val="28"/>
          <w:lang w:eastAsia="vi-VN"/>
        </w:rPr>
      </w:pPr>
      <w:bookmarkStart w:id="8" w:name="chuong_2"/>
      <w:r>
        <w:rPr>
          <w:rFonts w:eastAsia="Times New Roman" w:cs="Times New Roman" w:ascii="Times New Roman" w:hAnsi="Times New Roman"/>
          <w:b/>
          <w:bCs/>
          <w:sz w:val="28"/>
          <w:szCs w:val="28"/>
          <w:lang w:eastAsia="vi-VN"/>
        </w:rPr>
        <w:t>Chương II</w:t>
      </w:r>
      <w:bookmarkEnd w:id="8"/>
    </w:p>
    <w:p>
      <w:pPr>
        <w:pStyle w:val="Normal"/>
        <w:widowControl w:val="false"/>
        <w:shd w:fill="FFFFFF" w:val="clear"/>
        <w:spacing w:lineRule="auto" w:line="240" w:before="0" w:after="0"/>
        <w:ind w:firstLine="562" w:right="0"/>
        <w:jc w:val="center"/>
        <w:rPr>
          <w:rFonts w:ascii="Times New Roman" w:hAnsi="Times New Roman" w:eastAsia="Times New Roman" w:cs="Times New Roman"/>
          <w:b/>
          <w:bCs/>
          <w:sz w:val="26"/>
          <w:szCs w:val="26"/>
          <w:lang w:val="en-US" w:eastAsia="vi-VN"/>
        </w:rPr>
      </w:pPr>
      <w:bookmarkStart w:id="9" w:name="chuong_2_name"/>
      <w:r>
        <w:rPr>
          <w:rFonts w:eastAsia="Times New Roman" w:cs="Times New Roman" w:ascii="Times New Roman" w:hAnsi="Times New Roman"/>
          <w:b/>
          <w:bCs/>
          <w:sz w:val="26"/>
          <w:szCs w:val="26"/>
          <w:lang w:eastAsia="vi-VN"/>
        </w:rPr>
        <w:t xml:space="preserve">QUY ĐỊNH CHUNG VỀ QUẢN LÝ TÀI SẢN </w:t>
      </w:r>
    </w:p>
    <w:p>
      <w:pPr>
        <w:pStyle w:val="Normal"/>
        <w:widowControl w:val="false"/>
        <w:shd w:fill="FFFFFF" w:val="clear"/>
        <w:spacing w:lineRule="auto" w:line="240" w:before="0" w:after="0"/>
        <w:ind w:firstLine="562" w:right="0"/>
        <w:jc w:val="center"/>
        <w:rPr>
          <w:rFonts w:ascii="Times New Roman" w:hAnsi="Times New Roman" w:eastAsia="Times New Roman" w:cs="Times New Roman"/>
          <w:b/>
          <w:bCs/>
          <w:sz w:val="26"/>
          <w:szCs w:val="26"/>
          <w:lang w:eastAsia="vi-VN"/>
        </w:rPr>
      </w:pPr>
      <w:bookmarkStart w:id="10" w:name="chuong_2_name"/>
      <w:r>
        <w:rPr>
          <w:rFonts w:eastAsia="Times New Roman" w:cs="Times New Roman" w:ascii="Times New Roman" w:hAnsi="Times New Roman"/>
          <w:b/>
          <w:bCs/>
          <w:sz w:val="26"/>
          <w:szCs w:val="26"/>
          <w:lang w:eastAsia="vi-VN"/>
        </w:rPr>
        <w:t>KẾT CẤU HẠ TẦNG CHỢ</w:t>
      </w:r>
      <w:bookmarkEnd w:id="10"/>
      <w:r>
        <w:rPr>
          <w:rFonts w:eastAsia="Times New Roman" w:cs="Times New Roman" w:ascii="Times New Roman" w:hAnsi="Times New Roman"/>
          <w:b/>
          <w:bCs/>
          <w:sz w:val="26"/>
          <w:szCs w:val="26"/>
          <w:lang w:eastAsia="vi-VN"/>
        </w:rPr>
        <w:t xml:space="preserve"> LÀ TÀI SẢN CỐ ĐỊNH</w:t>
      </w:r>
    </w:p>
    <w:p>
      <w:pPr>
        <w:pStyle w:val="Normal"/>
        <w:widowControl w:val="false"/>
        <w:numPr>
          <w:ilvl w:val="0"/>
          <w:numId w:val="0"/>
        </w:numPr>
        <w:shd w:fill="FFFFFF" w:val="clear"/>
        <w:spacing w:lineRule="auto" w:line="240" w:before="120" w:after="120"/>
        <w:ind w:firstLine="567" w:right="0"/>
        <w:jc w:val="both"/>
        <w:outlineLvl w:val="0"/>
        <w:rPr>
          <w:rFonts w:ascii="Times New Roman" w:hAnsi="Times New Roman" w:eastAsia="Times New Roman" w:cs="Times New Roman"/>
          <w:b/>
          <w:bCs/>
          <w:spacing w:val="-4"/>
          <w:sz w:val="28"/>
          <w:szCs w:val="28"/>
          <w:lang w:eastAsia="vi-VN"/>
        </w:rPr>
      </w:pPr>
      <w:bookmarkStart w:id="11" w:name="dieu_3"/>
      <w:r>
        <w:rPr>
          <w:rFonts w:eastAsia="Times New Roman" w:cs="Times New Roman" w:ascii="Times New Roman" w:hAnsi="Times New Roman"/>
          <w:b/>
          <w:bCs/>
          <w:spacing w:val="-4"/>
          <w:sz w:val="28"/>
          <w:szCs w:val="28"/>
          <w:lang w:eastAsia="vi-VN"/>
        </w:rPr>
        <w:t>Điều 3. Tiêu chuẩn xác định tài sản kết cấu hạ tầng chợ</w:t>
      </w:r>
      <w:bookmarkEnd w:id="11"/>
      <w:r>
        <w:rPr>
          <w:rFonts w:eastAsia="Times New Roman" w:cs="Times New Roman" w:ascii="Times New Roman" w:hAnsi="Times New Roman"/>
          <w:b/>
          <w:bCs/>
          <w:spacing w:val="-4"/>
          <w:sz w:val="28"/>
          <w:szCs w:val="28"/>
          <w:lang w:eastAsia="vi-VN"/>
        </w:rPr>
        <w:t xml:space="preserve"> là tài sản cố định</w:t>
      </w:r>
    </w:p>
    <w:p>
      <w:pPr>
        <w:pStyle w:val="Normal"/>
        <w:widowControl w:val="false"/>
        <w:shd w:fill="FFFFFF" w:val="clear"/>
        <w:spacing w:lineRule="auto" w:line="240" w:before="120" w:after="120"/>
        <w:ind w:firstLine="567" w:right="0"/>
        <w:jc w:val="both"/>
        <w:rPr>
          <w:rFonts w:ascii="Times New Roman" w:hAnsi="Times New Roman" w:cs="Times New Roman"/>
          <w:sz w:val="28"/>
          <w:szCs w:val="28"/>
        </w:rPr>
      </w:pPr>
      <w:r>
        <w:rPr>
          <w:rFonts w:cs="Times New Roman" w:ascii="Times New Roman" w:hAnsi="Times New Roman"/>
          <w:sz w:val="28"/>
          <w:szCs w:val="28"/>
        </w:rPr>
        <w:t>1. Xác định tài sản kết cấu hạ tầng chợ</w:t>
      </w:r>
    </w:p>
    <w:p>
      <w:pPr>
        <w:pStyle w:val="Normal"/>
        <w:widowControl w:val="false"/>
        <w:shd w:fill="FFFFFF" w:val="clear"/>
        <w:spacing w:lineRule="auto" w:line="240" w:before="120" w:after="120"/>
        <w:ind w:firstLine="567" w:right="0"/>
        <w:jc w:val="both"/>
        <w:rPr/>
      </w:pPr>
      <w:r>
        <w:rPr>
          <w:rFonts w:cs="Times New Roman" w:ascii="Times New Roman" w:hAnsi="Times New Roman"/>
          <w:sz w:val="28"/>
          <w:szCs w:val="28"/>
        </w:rPr>
        <w:t>a) Quyền sử dụng đất đối với từng thửa đất hoặc phần diện tích</w:t>
      </w:r>
      <w:r>
        <w:rPr>
          <w:rFonts w:cs="Times New Roman" w:ascii="Times New Roman" w:hAnsi="Times New Roman"/>
          <w:sz w:val="28"/>
          <w:szCs w:val="28"/>
          <w:lang w:val="en-US"/>
        </w:rPr>
        <w:t xml:space="preserve"> đất</w:t>
      </w:r>
      <w:r>
        <w:rPr>
          <w:rFonts w:cs="Times New Roman" w:ascii="Times New Roman" w:hAnsi="Times New Roman"/>
          <w:sz w:val="28"/>
          <w:szCs w:val="28"/>
        </w:rPr>
        <w:t xml:space="preserve"> được giao</w:t>
      </w:r>
      <w:r>
        <w:rPr>
          <w:rFonts w:cs="Times New Roman" w:ascii="Times New Roman" w:hAnsi="Times New Roman"/>
          <w:sz w:val="28"/>
          <w:szCs w:val="28"/>
          <w:lang w:val="en-US"/>
        </w:rPr>
        <w:t xml:space="preserve"> cho</w:t>
      </w:r>
      <w:r>
        <w:rPr>
          <w:rFonts w:cs="Times New Roman" w:ascii="Times New Roman" w:hAnsi="Times New Roman"/>
          <w:sz w:val="28"/>
          <w:szCs w:val="28"/>
        </w:rPr>
        <w:t> mỗi cơ quan, đơn vị trong từng thửa đất được xác định là một tài sản.</w:t>
      </w:r>
    </w:p>
    <w:p>
      <w:pPr>
        <w:pStyle w:val="Normal"/>
        <w:widowControl w:val="false"/>
        <w:shd w:fill="FFFFFF" w:val="clear"/>
        <w:spacing w:lineRule="auto" w:line="240" w:before="120" w:after="120"/>
        <w:ind w:firstLine="567" w:right="0"/>
        <w:jc w:val="both"/>
        <w:rPr>
          <w:rFonts w:ascii="Times New Roman" w:hAnsi="Times New Roman" w:cs="Times New Roman"/>
          <w:sz w:val="28"/>
          <w:szCs w:val="28"/>
        </w:rPr>
      </w:pPr>
      <w:r>
        <w:rPr>
          <w:rFonts w:cs="Times New Roman" w:ascii="Times New Roman" w:hAnsi="Times New Roman"/>
          <w:sz w:val="28"/>
          <w:szCs w:val="28"/>
        </w:rPr>
        <w:t>b) Đối với tài sản không thuộc phạm vi quy định tại điểm a khoản này được xác định như sau:</w:t>
      </w:r>
    </w:p>
    <w:p>
      <w:pPr>
        <w:pStyle w:val="Normal"/>
        <w:widowControl w:val="false"/>
        <w:shd w:fill="FFFFFF" w:val="clear"/>
        <w:spacing w:lineRule="auto" w:line="240" w:before="120" w:after="120"/>
        <w:ind w:firstLine="567" w:right="0"/>
        <w:jc w:val="both"/>
        <w:rPr>
          <w:rFonts w:ascii="Times New Roman" w:hAnsi="Times New Roman" w:cs="Times New Roman"/>
          <w:sz w:val="28"/>
          <w:szCs w:val="28"/>
          <w:lang w:val="en-US"/>
        </w:rPr>
      </w:pPr>
      <w:r>
        <w:rPr>
          <w:rFonts w:cs="Times New Roman" w:ascii="Times New Roman" w:hAnsi="Times New Roman"/>
          <w:sz w:val="28"/>
          <w:szCs w:val="28"/>
        </w:rPr>
        <w:t>Tài sản sử dụng độc lập được xác định là một tài sản</w:t>
      </w:r>
      <w:r>
        <w:rPr>
          <w:rFonts w:cs="Times New Roman" w:ascii="Times New Roman" w:hAnsi="Times New Roman"/>
          <w:sz w:val="28"/>
          <w:szCs w:val="28"/>
          <w:lang w:val="en-US"/>
        </w:rPr>
        <w:t>;</w:t>
      </w:r>
    </w:p>
    <w:p>
      <w:pPr>
        <w:pStyle w:val="Normal"/>
        <w:widowControl w:val="false"/>
        <w:shd w:fill="FFFFFF" w:val="clear"/>
        <w:spacing w:lineRule="auto" w:line="240" w:before="120" w:after="120"/>
        <w:ind w:firstLine="562" w:right="0"/>
        <w:jc w:val="both"/>
        <w:rPr>
          <w:rFonts w:ascii="Times New Roman" w:hAnsi="Times New Roman" w:cs="Times New Roman"/>
          <w:sz w:val="28"/>
          <w:szCs w:val="28"/>
          <w:lang w:val="en-US"/>
        </w:rPr>
      </w:pPr>
      <w:r>
        <w:rPr>
          <w:rFonts w:cs="Times New Roman" w:ascii="Times New Roman" w:hAnsi="Times New Roman"/>
          <w:sz w:val="28"/>
          <w:szCs w:val="28"/>
        </w:rPr>
        <w:t>Một hệ thống gồm nhiều bộ phận tài sản riêng lẻ liên kết với nhau để cùng thực hiện một hay một số chức năng nhất định, mà nếu thiếu bất kỳ một bộ phận nào trong đó thì cả hệ thống không thể hoạt động được thì hệ thống đó được xác định là một tài sản</w:t>
      </w:r>
      <w:r>
        <w:rPr>
          <w:rFonts w:cs="Times New Roman" w:ascii="Times New Roman" w:hAnsi="Times New Roman"/>
          <w:sz w:val="28"/>
          <w:szCs w:val="28"/>
          <w:lang w:val="en-US"/>
        </w:rPr>
        <w:t>;</w:t>
      </w:r>
    </w:p>
    <w:p>
      <w:pPr>
        <w:pStyle w:val="Normal"/>
        <w:widowControl w:val="false"/>
        <w:shd w:fill="FFFFFF" w:val="clear"/>
        <w:spacing w:lineRule="auto" w:line="240" w:before="120" w:after="120"/>
        <w:ind w:firstLine="562" w:right="0"/>
        <w:jc w:val="both"/>
        <w:rPr/>
      </w:pPr>
      <w:r>
        <w:rPr>
          <w:rFonts w:cs="Times New Roman" w:ascii="Times New Roman" w:hAnsi="Times New Roman"/>
          <w:sz w:val="28"/>
          <w:szCs w:val="28"/>
        </w:rPr>
        <w:t>Một hệ thống được giao cho nhiều cơ quan, đơn vị quản lý thì phần tài sản được giao cho từng cơ quan, đơn vị quản lý là một tài sản.</w:t>
      </w:r>
    </w:p>
    <w:p>
      <w:pPr>
        <w:pStyle w:val="Normal"/>
        <w:widowControl w:val="false"/>
        <w:shd w:fill="FFFFFF" w:val="clear"/>
        <w:spacing w:lineRule="auto" w:line="240" w:before="120" w:after="120"/>
        <w:ind w:firstLine="567" w:right="0"/>
        <w:jc w:val="both"/>
        <w:rPr/>
      </w:pPr>
      <w:r>
        <w:rPr>
          <w:rFonts w:cs="Times New Roman" w:ascii="Times New Roman" w:hAnsi="Times New Roman"/>
          <w:sz w:val="28"/>
          <w:szCs w:val="28"/>
        </w:rPr>
        <w:t>2. Tài sản kết cấu hạ tầng chợ quy định tại khoản 1 Điều này (trừ tài sản quy định tại khoản 3 Điều này) được xác định là tài sản cố định khi thỏa mãn đồng thời 02 tiêu chuẩn sau đây:</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a) Có thời gian sử dụng từ 01 (một) năm trở lên.</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b) Có nguyên giá từ 10.000.000 đồng (mười triệu đồng) trở lên.</w:t>
      </w:r>
    </w:p>
    <w:p>
      <w:pPr>
        <w:pStyle w:val="Normal"/>
        <w:widowControl w:val="false"/>
        <w:shd w:fill="FFFFFF" w:val="clear"/>
        <w:spacing w:lineRule="auto" w:line="240" w:before="120" w:after="120"/>
        <w:ind w:firstLine="567" w:right="0"/>
        <w:jc w:val="both"/>
        <w:rPr>
          <w:rFonts w:ascii="Times New Roman" w:hAnsi="Times New Roman" w:cs="Times New Roman"/>
          <w:sz w:val="28"/>
          <w:szCs w:val="28"/>
        </w:rPr>
      </w:pPr>
      <w:r>
        <w:rPr>
          <w:rFonts w:cs="Times New Roman" w:ascii="Times New Roman" w:hAnsi="Times New Roman"/>
          <w:sz w:val="28"/>
          <w:szCs w:val="28"/>
        </w:rPr>
        <w:t>3. Tài sản kết cấu hạ tầng chợ quy định tại khoản 1 Điều này giao cho đơn vị sự nghiệp công lập tự bảo đảm chi thường xuyên và chi đầu tư, đơn vị sự nghiệp công lập thuộc đối tượng phải kết cấu chi phí khấu hao tài sản cố định vào giá dịch vụ theo quy định của pháp luật</w:t>
      </w:r>
      <w:r>
        <w:rPr>
          <w:rFonts w:cs="Times New Roman" w:ascii="Times New Roman" w:hAnsi="Times New Roman"/>
          <w:color w:val="FF0000"/>
          <w:sz w:val="28"/>
          <w:szCs w:val="28"/>
        </w:rPr>
        <w:t xml:space="preserve"> </w:t>
      </w:r>
      <w:r>
        <w:rPr>
          <w:rFonts w:cs="Times New Roman" w:ascii="Times New Roman" w:hAnsi="Times New Roman"/>
          <w:sz w:val="28"/>
          <w:szCs w:val="28"/>
        </w:rPr>
        <w:t>thỏa mãn đồng thời 02 tiêu chuẩn dưới đây là tài sản cố định:</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cs="Times New Roman" w:ascii="Times New Roman" w:hAnsi="Times New Roman"/>
          <w:sz w:val="28"/>
          <w:szCs w:val="28"/>
        </w:rPr>
        <w:t xml:space="preserve">a) Có thời gian sử dụng từ </w:t>
      </w:r>
      <w:r>
        <w:rPr>
          <w:rFonts w:eastAsia="Times New Roman" w:cs="Times New Roman" w:ascii="Times New Roman" w:hAnsi="Times New Roman"/>
          <w:sz w:val="28"/>
          <w:szCs w:val="28"/>
          <w:lang w:eastAsia="vi-VN"/>
        </w:rPr>
        <w:t>01 (một) năm trở lên</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ascii="Times New Roman" w:hAnsi="Times New Roman" w:cs="Times New Roman"/>
          <w:sz w:val="28"/>
          <w:szCs w:val="28"/>
        </w:rPr>
      </w:pPr>
      <w:r>
        <w:rPr>
          <w:rFonts w:eastAsia="Times New Roman" w:cs="Times New Roman" w:ascii="Times New Roman" w:hAnsi="Times New Roman"/>
          <w:sz w:val="28"/>
          <w:szCs w:val="28"/>
          <w:lang w:eastAsia="vi-VN"/>
        </w:rPr>
        <w:t xml:space="preserve">b) Đáp ứng tiêu chuẩn về nguyên giá tài sản cố định theo quy định của pháp luật áp dụng cho doanh nghiệp. </w:t>
      </w:r>
    </w:p>
    <w:p>
      <w:pPr>
        <w:pStyle w:val="Normal"/>
        <w:widowControl w:val="false"/>
        <w:numPr>
          <w:ilvl w:val="0"/>
          <w:numId w:val="0"/>
        </w:numPr>
        <w:shd w:fill="FFFFFF" w:val="clear"/>
        <w:spacing w:lineRule="auto" w:line="240" w:before="120" w:after="120"/>
        <w:ind w:firstLine="567" w:right="0"/>
        <w:jc w:val="both"/>
        <w:outlineLvl w:val="0"/>
        <w:rPr>
          <w:rFonts w:ascii="Times New Roman" w:hAnsi="Times New Roman" w:eastAsia="Times New Roman" w:cs="Times New Roman"/>
          <w:b/>
          <w:bCs/>
          <w:sz w:val="28"/>
          <w:szCs w:val="28"/>
          <w:lang w:eastAsia="vi-VN"/>
        </w:rPr>
      </w:pPr>
      <w:bookmarkStart w:id="12" w:name="dieu_4"/>
      <w:r>
        <w:rPr>
          <w:rFonts w:eastAsia="Times New Roman" w:cs="Times New Roman" w:ascii="Times New Roman" w:hAnsi="Times New Roman"/>
          <w:b/>
          <w:bCs/>
          <w:sz w:val="28"/>
          <w:szCs w:val="28"/>
          <w:lang w:eastAsia="vi-VN"/>
        </w:rPr>
        <w:t>Điều 4. Nguyên tắc quản lý tài sản kết cấu hạ tầng chợ</w:t>
      </w:r>
      <w:bookmarkEnd w:id="12"/>
      <w:r>
        <w:rPr>
          <w:rFonts w:eastAsia="Times New Roman" w:cs="Times New Roman" w:ascii="Times New Roman" w:hAnsi="Times New Roman"/>
          <w:b/>
          <w:bCs/>
          <w:sz w:val="28"/>
          <w:szCs w:val="28"/>
          <w:lang w:eastAsia="vi-VN"/>
        </w:rPr>
        <w:t xml:space="preserve"> là tài sản cố định</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1. Tài sản kết cấu hạ tầng chợ quy định tại </w:t>
      </w:r>
      <w:bookmarkStart w:id="13" w:name="tc_1"/>
      <w:r>
        <w:rPr>
          <w:rFonts w:eastAsia="Times New Roman" w:cs="Times New Roman" w:ascii="Times New Roman" w:hAnsi="Times New Roman"/>
          <w:sz w:val="28"/>
          <w:szCs w:val="28"/>
          <w:lang w:eastAsia="vi-VN"/>
        </w:rPr>
        <w:t>Điều 3 Thông tư này</w:t>
      </w:r>
      <w:bookmarkEnd w:id="13"/>
      <w:r>
        <w:rPr>
          <w:rFonts w:eastAsia="Times New Roman" w:cs="Times New Roman" w:ascii="Times New Roman" w:hAnsi="Times New Roman"/>
          <w:sz w:val="28"/>
          <w:szCs w:val="28"/>
          <w:lang w:eastAsia="vi-VN"/>
        </w:rPr>
        <w:t> phải được lập hồ sơ tài sản để quản lý chặt chẽ về hiện vật và giá trị theo quy định của pháp luật về quản lý, sử dụng tài sản công và pháp luật có liên quan.</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2. Mỗi một tài sản kết cấu hạ tầng chợ quy định tại </w:t>
      </w:r>
      <w:bookmarkStart w:id="14" w:name="tc_2"/>
      <w:r>
        <w:rPr>
          <w:rFonts w:eastAsia="Times New Roman" w:cs="Times New Roman" w:ascii="Times New Roman" w:hAnsi="Times New Roman"/>
          <w:sz w:val="28"/>
          <w:szCs w:val="28"/>
          <w:lang w:eastAsia="vi-VN"/>
        </w:rPr>
        <w:t>Điều 3 Thông tư này</w:t>
      </w:r>
      <w:bookmarkEnd w:id="14"/>
      <w:r>
        <w:rPr>
          <w:rFonts w:eastAsia="Times New Roman" w:cs="Times New Roman" w:ascii="Times New Roman" w:hAnsi="Times New Roman"/>
          <w:sz w:val="28"/>
          <w:szCs w:val="28"/>
          <w:lang w:eastAsia="vi-VN"/>
        </w:rPr>
        <w:t> là một đối tượng ghi sổ kế toán. Kế toán tài sản kết cấu hạ tầng chợ phải</w:t>
      </w:r>
      <w:r>
        <w:rPr>
          <w:rFonts w:eastAsia="Times New Roman" w:cs="Times New Roman" w:ascii="Times New Roman" w:hAnsi="Times New Roman"/>
          <w:sz w:val="28"/>
          <w:szCs w:val="28"/>
          <w:lang w:val="en-US" w:eastAsia="vi-VN"/>
        </w:rPr>
        <w:t xml:space="preserve"> được</w:t>
      </w:r>
      <w:r>
        <w:rPr>
          <w:rFonts w:eastAsia="Times New Roman" w:cs="Times New Roman" w:ascii="Times New Roman" w:hAnsi="Times New Roman"/>
          <w:sz w:val="28"/>
          <w:szCs w:val="28"/>
          <w:lang w:eastAsia="vi-VN"/>
        </w:rPr>
        <w:t xml:space="preserve"> phản ánh, ghi chép đầy đủ thông tin về nguyên giá, giá trị còn lại, hao mòn, khấu hao của tài sản.</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3. Cơ quan, đơn vị được giao quản lý tài sản kết cấu hạ tầng chợ có trách nhiệm:</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a) Hạch toán đối với toàn bộ tài sản kết cấu hạ tầng chợ được giao quản lý theo quy định của chế độ kế toán hiện hành</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b) Thực hiện kiểm kê tài sản định kỳ hằng năm; thực hiện điều chỉnh số liệu kế toán nếu có chênh lệch phát sinh khi thực hiện kiểm kê</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c) Thực hiện báo cáo kê khai, báo cáo tình hình quản lý, sử dụng tài sản kết cấu hạ tầng chợ theo quy định tại </w:t>
      </w:r>
      <w:bookmarkStart w:id="15" w:name="dc_1"/>
      <w:r>
        <w:rPr>
          <w:rFonts w:eastAsia="Times New Roman" w:cs="Times New Roman" w:ascii="Times New Roman" w:hAnsi="Times New Roman"/>
          <w:sz w:val="28"/>
          <w:szCs w:val="28"/>
          <w:lang w:eastAsia="vi-VN"/>
        </w:rPr>
        <w:t>Điều 34 Nghị định số 60/2024/NĐ-CP</w:t>
      </w:r>
      <w:bookmarkEnd w:id="15"/>
      <w:r>
        <w:rPr>
          <w:rFonts w:eastAsia="Times New Roman" w:cs="Times New Roman" w:ascii="Times New Roman" w:hAnsi="Times New Roman"/>
          <w:sz w:val="28"/>
          <w:szCs w:val="28"/>
          <w:lang w:eastAsia="vi-VN"/>
        </w:rPr>
        <w:t> và pháp luật có liên quan.</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4. Đối với tài sản kết cấu hạ tầng chợ không còn nhu cầu sử dụng nhưng chưa tính đủ hao mòn hoặc chưa khấu hao hết giá trị theo quy định thì cơ quan, đơn vị được giao quản lý tài sản tiếp tục thực hiện quản lý, theo dõi, bảo quản tài sản theo quy định và tính hao mòn, trích khấu hao theo quy định tại Thông tư này cho đến khi được xử lý theo quy định.</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5. Đối với tài sản kết cấu hạ tầng chợ đã tính đủ hao mòn hoặc đã khấu hao hết giá trị nhưng vẫn còn sử dụng được thì cơ quan, đơn vị được giao quản lý tài sản tiếp tục thực hiện quản lý, sử dụng, theo dõi, bảo quản tài sản theo quy định và không phải tính hao mòn, trích khấu hao.</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Trường hợp tài sản kết cấu hạ tầng chợ đã tính đủ hao mòn hoặc đã khấu hao hết giá trị nhưng sau đó thuộc trường hợp phải thay đổi nguyên giá theo quy định tại </w:t>
      </w:r>
      <w:bookmarkStart w:id="16" w:name="tc_3"/>
      <w:r>
        <w:rPr>
          <w:rFonts w:eastAsia="Times New Roman" w:cs="Times New Roman" w:ascii="Times New Roman" w:hAnsi="Times New Roman"/>
          <w:sz w:val="28"/>
          <w:szCs w:val="28"/>
          <w:lang w:eastAsia="vi-VN"/>
        </w:rPr>
        <w:t>khoản 7 Điều 6 Thông tư này</w:t>
      </w:r>
      <w:bookmarkEnd w:id="16"/>
      <w:r>
        <w:rPr>
          <w:rFonts w:eastAsia="Times New Roman" w:cs="Times New Roman" w:ascii="Times New Roman" w:hAnsi="Times New Roman"/>
          <w:sz w:val="28"/>
          <w:szCs w:val="28"/>
          <w:lang w:eastAsia="vi-VN"/>
        </w:rPr>
        <w:t> thì phải tính hao mòn, trích khấu hao theo quy định cho thời gian sử dụng còn lại (nếu có) sau khi thay đổi nguyên giá.</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6. Trường hợp cho thuê quyền khai thác tài sản kết cấu hạ tầng chợ thì cơ quan, đơn vị được giao quản lý tài sản</w:t>
      </w:r>
      <w:r>
        <w:rPr>
          <w:rFonts w:eastAsia="Times New Roman" w:cs="Times New Roman" w:ascii="Times New Roman" w:hAnsi="Times New Roman"/>
          <w:sz w:val="28"/>
          <w:szCs w:val="28"/>
          <w:lang w:val="en-US" w:eastAsia="vi-VN"/>
        </w:rPr>
        <w:t xml:space="preserve"> (bên cho thuê)</w:t>
      </w:r>
      <w:r>
        <w:rPr>
          <w:rFonts w:eastAsia="Times New Roman" w:cs="Times New Roman" w:ascii="Times New Roman" w:hAnsi="Times New Roman"/>
          <w:sz w:val="28"/>
          <w:szCs w:val="28"/>
          <w:lang w:eastAsia="vi-VN"/>
        </w:rPr>
        <w:t xml:space="preserve"> tiếp tục thực hiện quản lý, theo dõi và tính hao mòn tài sản theo quy định tại Thông tư này trong thời gian cho thuê quyền khai thác.</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 xml:space="preserve">7. Trường hợp chuyển nhượng có thời hạn quyền khai thác tài sản kết cấu hạ tầng chợ thì trong thời gian chuyển nhượng quyền khai thác, cơ quan, đơn vị được giao quản lý tài sản (bên chuyển nhượng): </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a) Có trách nhiệm theo dõi, kiểm tra, giám sát việc thực hiện nghĩa vụ của bên nhận chuyển nhượng theo quy định của pháp luật và Hợp đồng chuyển nhượng có thời hạn quyền khai thác tài sản</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b) Không thực hiện tính hao mòn, trích khấu hao theo quy định tại Thông tư này</w:t>
      </w:r>
      <w:r>
        <w:rPr>
          <w:rFonts w:eastAsia="Times New Roman" w:cs="Times New Roman" w:ascii="Times New Roman" w:hAnsi="Times New Roman"/>
          <w:b/>
          <w:sz w:val="28"/>
          <w:szCs w:val="28"/>
          <w:lang w:eastAsia="vi-VN"/>
        </w:rPr>
        <w:t xml:space="preserve"> </w:t>
      </w:r>
      <w:r>
        <w:rPr>
          <w:rFonts w:eastAsia="Times New Roman" w:cs="Times New Roman" w:ascii="Times New Roman" w:hAnsi="Times New Roman"/>
          <w:bCs/>
          <w:sz w:val="28"/>
          <w:szCs w:val="28"/>
          <w:lang w:eastAsia="vi-VN"/>
        </w:rPr>
        <w:t>nhưng</w:t>
      </w:r>
      <w:r>
        <w:rPr>
          <w:rFonts w:eastAsia="Times New Roman" w:cs="Times New Roman" w:ascii="Times New Roman" w:hAnsi="Times New Roman"/>
          <w:sz w:val="28"/>
          <w:szCs w:val="28"/>
          <w:lang w:eastAsia="vi-VN"/>
        </w:rPr>
        <w:t xml:space="preserve"> </w:t>
      </w:r>
      <w:r>
        <w:rPr>
          <w:rFonts w:cs="Times New Roman" w:ascii="Times New Roman" w:hAnsi="Times New Roman"/>
          <w:sz w:val="28"/>
          <w:szCs w:val="28"/>
        </w:rPr>
        <w:t xml:space="preserve">phải tiếp tục theo dõi nguyên giá tài sản đã hạch toán tại thời điểm chuyển nhượng trên sổ kế toán và trình bày trên thuyết minh báo cáo tài chính </w:t>
      </w:r>
      <w:r>
        <w:rPr>
          <w:rFonts w:eastAsia="Times New Roman" w:cs="Times New Roman" w:ascii="Times New Roman" w:hAnsi="Times New Roman"/>
          <w:sz w:val="28"/>
          <w:szCs w:val="28"/>
          <w:lang w:eastAsia="vi-VN"/>
        </w:rPr>
        <w:t>theo quy định của chế độ kế toán hiện hành</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c) Khi hết thời hạn chuyển nhượng có thời hạn quyền khai thác tài sản kết cấu hạ tầng chợ, cơ quan, đơn vị được giao quản lý tài sản tiếp nhận lại tài sản theo Hợp đồng chuyển nhượng có thời hạn quyền khai thác tài sản và quy định của pháp luật, thực hiện xác định lại nguyên giá, giá trị còn lại của tài sản để thực hiện quản lý, sử dụng, tính hao mòn, trích khấu hao theo quy định tại Nghị định số </w:t>
      </w:r>
      <w:hyperlink r:id="rId7" w:tgtFrame="_blank">
        <w:r>
          <w:rPr>
            <w:rStyle w:val="Hyperlink"/>
            <w:rFonts w:eastAsia="Times New Roman" w:cs="Times New Roman" w:ascii="Times New Roman" w:hAnsi="Times New Roman"/>
            <w:sz w:val="28"/>
            <w:szCs w:val="28"/>
            <w:lang w:eastAsia="vi-VN"/>
          </w:rPr>
          <w:t>60/2024/NĐ-CP</w:t>
        </w:r>
      </w:hyperlink>
      <w:r>
        <w:rPr>
          <w:rFonts w:eastAsia="Times New Roman" w:cs="Times New Roman" w:ascii="Times New Roman" w:hAnsi="Times New Roman"/>
          <w:sz w:val="28"/>
          <w:szCs w:val="28"/>
          <w:lang w:eastAsia="vi-VN"/>
        </w:rPr>
        <w:t> và Thông tư này.</w:t>
      </w:r>
    </w:p>
    <w:p>
      <w:pPr>
        <w:pStyle w:val="Normal"/>
        <w:widowControl w:val="false"/>
        <w:shd w:fill="FFFFFF" w:val="clear"/>
        <w:spacing w:lineRule="auto" w:line="240" w:before="120" w:after="120"/>
        <w:ind w:firstLine="567" w:right="0"/>
        <w:jc w:val="center"/>
        <w:rPr>
          <w:rFonts w:ascii="Times New Roman" w:hAnsi="Times New Roman" w:eastAsia="Times New Roman" w:cs="Times New Roman"/>
          <w:sz w:val="28"/>
          <w:szCs w:val="28"/>
          <w:lang w:eastAsia="vi-VN"/>
        </w:rPr>
      </w:pPr>
      <w:bookmarkStart w:id="17" w:name="chuong_3"/>
      <w:r>
        <w:rPr>
          <w:rFonts w:eastAsia="Times New Roman" w:cs="Times New Roman" w:ascii="Times New Roman" w:hAnsi="Times New Roman"/>
          <w:b/>
          <w:bCs/>
          <w:sz w:val="28"/>
          <w:szCs w:val="28"/>
          <w:lang w:eastAsia="vi-VN"/>
        </w:rPr>
        <w:t>Chương III</w:t>
      </w:r>
      <w:bookmarkEnd w:id="17"/>
    </w:p>
    <w:p>
      <w:pPr>
        <w:pStyle w:val="Normal"/>
        <w:widowControl w:val="false"/>
        <w:shd w:fill="FFFFFF" w:val="clear"/>
        <w:spacing w:lineRule="auto" w:line="240" w:before="120" w:after="120"/>
        <w:ind w:firstLine="567" w:right="0"/>
        <w:jc w:val="center"/>
        <w:rPr>
          <w:rFonts w:ascii="Times New Roman" w:hAnsi="Times New Roman" w:eastAsia="Times New Roman" w:cs="Times New Roman"/>
          <w:b/>
          <w:bCs/>
          <w:sz w:val="26"/>
          <w:szCs w:val="26"/>
          <w:lang w:eastAsia="vi-VN"/>
        </w:rPr>
      </w:pPr>
      <w:bookmarkStart w:id="18" w:name="chuong_3_name"/>
      <w:r>
        <w:rPr>
          <w:rFonts w:eastAsia="Times New Roman" w:cs="Times New Roman" w:ascii="Times New Roman" w:hAnsi="Times New Roman"/>
          <w:b/>
          <w:bCs/>
          <w:sz w:val="26"/>
          <w:szCs w:val="26"/>
          <w:lang w:eastAsia="vi-VN"/>
        </w:rPr>
        <w:t>TÍNH HAO MÒN, TRÍCH KHẤU HAO TÀI SẢN KẾT CẤU HẠ TẦNG CHỢ</w:t>
      </w:r>
      <w:bookmarkEnd w:id="18"/>
      <w:r>
        <w:rPr>
          <w:rFonts w:eastAsia="Times New Roman" w:cs="Times New Roman" w:ascii="Times New Roman" w:hAnsi="Times New Roman"/>
          <w:b/>
          <w:bCs/>
          <w:sz w:val="26"/>
          <w:szCs w:val="26"/>
          <w:lang w:eastAsia="vi-VN"/>
        </w:rPr>
        <w:t xml:space="preserve"> LÀ TÀI SẢN CỐ ĐỊNH</w:t>
      </w:r>
    </w:p>
    <w:p>
      <w:pPr>
        <w:pStyle w:val="Normal"/>
        <w:widowControl w:val="false"/>
        <w:shd w:fill="FFFFFF" w:val="clear"/>
        <w:spacing w:lineRule="auto" w:line="240" w:before="120" w:after="120"/>
        <w:ind w:firstLine="567" w:right="0"/>
        <w:jc w:val="both"/>
        <w:rPr/>
      </w:pPr>
      <w:bookmarkStart w:id="19" w:name="dieu_5"/>
      <w:r>
        <w:rPr>
          <w:rFonts w:eastAsia="Times New Roman" w:cs="Times New Roman" w:ascii="Times New Roman" w:hAnsi="Times New Roman"/>
          <w:b/>
          <w:sz w:val="28"/>
          <w:szCs w:val="28"/>
          <w:lang w:eastAsia="vi-VN"/>
        </w:rPr>
        <w:t>Điều 5. Xác định nguyên giá tài sản là quyền sử dụng đất</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 xml:space="preserve">1. Trường hợp cơ quan, đơn vị được Nhà nước giao đất không thu tiền sử dụng đất, nguyên giá tài sản là quyền sử dụng đất được xác định </w:t>
      </w:r>
      <w:r>
        <w:rPr/>
        <w:t>như sau:</w:t>
      </w:r>
    </w:p>
    <w:tbl>
      <w:tblPr>
        <w:tblW w:w="9322" w:type="dxa"/>
        <w:jc w:val="left"/>
        <w:tblInd w:w="0" w:type="dxa"/>
        <w:tblLayout w:type="fixed"/>
        <w:tblCellMar>
          <w:top w:w="0" w:type="dxa"/>
          <w:left w:w="108" w:type="dxa"/>
          <w:bottom w:w="0" w:type="dxa"/>
          <w:right w:w="108" w:type="dxa"/>
        </w:tblCellMar>
      </w:tblPr>
      <w:tblGrid>
        <w:gridCol w:w="1809"/>
        <w:gridCol w:w="637"/>
        <w:gridCol w:w="1206"/>
        <w:gridCol w:w="346"/>
        <w:gridCol w:w="1870"/>
        <w:gridCol w:w="360"/>
        <w:gridCol w:w="3094"/>
      </w:tblGrid>
      <w:tr>
        <w:trPr/>
        <w:tc>
          <w:tcPr>
            <w:tcW w:w="1809" w:type="dxa"/>
            <w:tcBorders/>
            <w:vAlign w:val="center"/>
          </w:tcPr>
          <w:p>
            <w:pPr>
              <w:pStyle w:val="Normal"/>
              <w:widowControl w:val="false"/>
              <w:spacing w:lineRule="auto" w:line="240" w:before="0" w:after="0"/>
              <w:jc w:val="center"/>
              <w:rPr>
                <w:rFonts w:ascii="Times New Roman" w:hAnsi="Times New Roman" w:eastAsia="Times New Roman" w:cs="Times New Roman"/>
                <w:sz w:val="26"/>
                <w:szCs w:val="26"/>
                <w:lang w:eastAsia="vi-VN"/>
              </w:rPr>
            </w:pPr>
            <w:r>
              <w:rPr>
                <w:rFonts w:eastAsia="Times New Roman" w:cs="Times New Roman" w:ascii="Times New Roman" w:hAnsi="Times New Roman"/>
                <w:sz w:val="26"/>
                <w:szCs w:val="26"/>
                <w:lang w:eastAsia="vi-VN"/>
              </w:rPr>
              <w:t>Nguyên giá tài sản là quyền sử dụng đất (đồng)</w:t>
            </w:r>
          </w:p>
        </w:tc>
        <w:tc>
          <w:tcPr>
            <w:tcW w:w="637" w:type="dxa"/>
            <w:tcBorders/>
            <w:vAlign w:val="center"/>
          </w:tcPr>
          <w:p>
            <w:pPr>
              <w:pStyle w:val="Normal"/>
              <w:widowControl w:val="false"/>
              <w:spacing w:lineRule="auto" w:line="240" w:before="0" w:after="0"/>
              <w:jc w:val="center"/>
              <w:rPr>
                <w:rFonts w:ascii="Times New Roman" w:hAnsi="Times New Roman" w:eastAsia="Times New Roman" w:cs="Times New Roman"/>
                <w:sz w:val="26"/>
                <w:szCs w:val="26"/>
                <w:lang w:val="en-US" w:eastAsia="vi-VN"/>
              </w:rPr>
            </w:pPr>
            <w:r>
              <w:rPr>
                <w:rFonts w:eastAsia="Times New Roman" w:cs="Times New Roman" w:ascii="Times New Roman" w:hAnsi="Times New Roman"/>
                <w:sz w:val="26"/>
                <w:szCs w:val="26"/>
                <w:lang w:val="en-US" w:eastAsia="vi-VN"/>
              </w:rPr>
              <w:t>=</w:t>
            </w:r>
          </w:p>
        </w:tc>
        <w:tc>
          <w:tcPr>
            <w:tcW w:w="1206" w:type="dxa"/>
            <w:tcBorders/>
            <w:vAlign w:val="center"/>
          </w:tcPr>
          <w:p>
            <w:pPr>
              <w:pStyle w:val="Normal"/>
              <w:widowControl w:val="false"/>
              <w:spacing w:lineRule="auto" w:line="240" w:before="0" w:after="0"/>
              <w:jc w:val="center"/>
              <w:rPr>
                <w:rFonts w:ascii="Times New Roman" w:hAnsi="Times New Roman" w:eastAsia="Times New Roman" w:cs="Times New Roman"/>
                <w:sz w:val="26"/>
                <w:szCs w:val="26"/>
                <w:lang w:val="en-US" w:eastAsia="vi-VN"/>
              </w:rPr>
            </w:pPr>
            <w:r>
              <w:rPr>
                <w:rFonts w:eastAsia="Times New Roman" w:cs="Times New Roman" w:ascii="Times New Roman" w:hAnsi="Times New Roman"/>
                <w:sz w:val="26"/>
                <w:szCs w:val="26"/>
                <w:lang w:eastAsia="vi-VN"/>
              </w:rPr>
              <w:t>Diện tích đất (m</w:t>
            </w:r>
            <w:r>
              <w:rPr>
                <w:rFonts w:eastAsia="Times New Roman" w:cs="Times New Roman" w:ascii="Times New Roman" w:hAnsi="Times New Roman"/>
                <w:sz w:val="26"/>
                <w:szCs w:val="26"/>
                <w:vertAlign w:val="superscript"/>
                <w:lang w:eastAsia="vi-VN"/>
              </w:rPr>
              <w:t>2</w:t>
            </w:r>
            <w:r>
              <w:rPr>
                <w:rFonts w:eastAsia="Times New Roman" w:cs="Times New Roman" w:ascii="Times New Roman" w:hAnsi="Times New Roman"/>
                <w:sz w:val="26"/>
                <w:szCs w:val="26"/>
                <w:lang w:eastAsia="vi-VN"/>
              </w:rPr>
              <w:t>)</w:t>
            </w:r>
          </w:p>
        </w:tc>
        <w:tc>
          <w:tcPr>
            <w:tcW w:w="346" w:type="dxa"/>
            <w:tcBorders/>
            <w:vAlign w:val="center"/>
          </w:tcPr>
          <w:p>
            <w:pPr>
              <w:pStyle w:val="Normal"/>
              <w:widowControl w:val="false"/>
              <w:spacing w:lineRule="auto" w:line="240" w:before="0" w:after="0"/>
              <w:jc w:val="center"/>
              <w:rPr>
                <w:rFonts w:ascii="Times New Roman" w:hAnsi="Times New Roman" w:eastAsia="Times New Roman" w:cs="Times New Roman"/>
                <w:sz w:val="26"/>
                <w:szCs w:val="26"/>
                <w:lang w:val="en-US" w:eastAsia="vi-VN"/>
              </w:rPr>
            </w:pPr>
            <w:r>
              <w:rPr>
                <w:rFonts w:eastAsia="Times New Roman" w:cs="Times New Roman" w:ascii="Times New Roman" w:hAnsi="Times New Roman"/>
                <w:sz w:val="26"/>
                <w:szCs w:val="26"/>
                <w:lang w:val="en-US" w:eastAsia="vi-VN"/>
              </w:rPr>
              <w:t>x</w:t>
            </w:r>
          </w:p>
        </w:tc>
        <w:tc>
          <w:tcPr>
            <w:tcW w:w="1870" w:type="dxa"/>
            <w:tcBorders/>
            <w:vAlign w:val="center"/>
          </w:tcPr>
          <w:p>
            <w:pPr>
              <w:pStyle w:val="Normal"/>
              <w:widowControl w:val="false"/>
              <w:spacing w:lineRule="auto" w:line="240" w:before="0" w:after="0"/>
              <w:jc w:val="center"/>
              <w:rPr>
                <w:rFonts w:ascii="Times New Roman" w:hAnsi="Times New Roman" w:eastAsia="Times New Roman" w:cs="Times New Roman"/>
                <w:sz w:val="26"/>
                <w:szCs w:val="26"/>
                <w:lang w:val="en-US" w:eastAsia="vi-VN"/>
              </w:rPr>
            </w:pPr>
            <w:r>
              <w:rPr>
                <w:rFonts w:eastAsia="Times New Roman" w:cs="Times New Roman" w:ascii="Times New Roman" w:hAnsi="Times New Roman"/>
                <w:sz w:val="26"/>
                <w:szCs w:val="26"/>
                <w:lang w:eastAsia="vi-VN"/>
              </w:rPr>
              <w:t>Giá đất thương mại, dịch vụ theo Bảng giá đất (đồng)</w:t>
            </w:r>
          </w:p>
          <w:p>
            <w:pPr>
              <w:pStyle w:val="Normal"/>
              <w:widowControl w:val="false"/>
              <w:spacing w:lineRule="auto" w:line="240" w:before="0" w:after="0"/>
              <w:jc w:val="center"/>
              <w:rPr>
                <w:rFonts w:ascii="Times New Roman" w:hAnsi="Times New Roman" w:eastAsia="Times New Roman" w:cs="Times New Roman"/>
                <w:sz w:val="26"/>
                <w:szCs w:val="26"/>
                <w:lang w:val="en-US" w:eastAsia="vi-VN"/>
              </w:rPr>
            </w:pPr>
            <w:r>
              <w:rPr>
                <w:rFonts w:eastAsia="Times New Roman" w:cs="Times New Roman" w:ascii="Times New Roman" w:hAnsi="Times New Roman"/>
                <w:sz w:val="26"/>
                <w:szCs w:val="26"/>
                <w:lang w:val="en-US" w:eastAsia="vi-VN"/>
              </w:rPr>
            </w:r>
          </w:p>
        </w:tc>
        <w:tc>
          <w:tcPr>
            <w:tcW w:w="360" w:type="dxa"/>
            <w:tcBorders/>
            <w:vAlign w:val="center"/>
          </w:tcPr>
          <w:p>
            <w:pPr>
              <w:pStyle w:val="Normal"/>
              <w:widowControl w:val="false"/>
              <w:spacing w:lineRule="auto" w:line="240" w:before="0" w:after="0"/>
              <w:jc w:val="center"/>
              <w:rPr>
                <w:rFonts w:ascii="Times New Roman" w:hAnsi="Times New Roman" w:eastAsia="Times New Roman" w:cs="Times New Roman"/>
                <w:sz w:val="26"/>
                <w:szCs w:val="26"/>
                <w:lang w:eastAsia="vi-VN"/>
              </w:rPr>
            </w:pPr>
            <w:r>
              <w:rPr>
                <w:rFonts w:eastAsia="Times New Roman" w:cs="Times New Roman" w:ascii="Times New Roman" w:hAnsi="Times New Roman"/>
                <w:sz w:val="26"/>
                <w:szCs w:val="26"/>
                <w:lang w:eastAsia="vi-VN"/>
              </w:rPr>
              <w:t>+</w:t>
            </w:r>
          </w:p>
        </w:tc>
        <w:tc>
          <w:tcPr>
            <w:tcW w:w="3094" w:type="dxa"/>
            <w:tcBorders/>
            <w:vAlign w:val="center"/>
          </w:tcPr>
          <w:p>
            <w:pPr>
              <w:pStyle w:val="Normal"/>
              <w:widowControl w:val="false"/>
              <w:spacing w:lineRule="auto" w:line="240" w:before="0" w:after="0"/>
              <w:jc w:val="center"/>
              <w:rPr>
                <w:rFonts w:ascii="Times New Roman" w:hAnsi="Times New Roman" w:eastAsia="Times New Roman" w:cs="Times New Roman"/>
                <w:sz w:val="26"/>
                <w:szCs w:val="26"/>
                <w:lang w:val="en-US" w:eastAsia="vi-VN"/>
              </w:rPr>
            </w:pPr>
            <w:r>
              <w:rPr>
                <w:rFonts w:eastAsia="Times New Roman" w:cs="Times New Roman" w:ascii="Times New Roman" w:hAnsi="Times New Roman"/>
                <w:sz w:val="26"/>
                <w:szCs w:val="26"/>
                <w:lang w:eastAsia="vi-VN"/>
              </w:rPr>
              <w:t>Các khoản thuế (không bao gồm các khoản thuế được khấu trừ, hoàn lại) và các khoản phí, lệ phí theo quy định của pháp luật về phí và lệ phí</w:t>
            </w:r>
            <w:r>
              <w:rPr>
                <w:rFonts w:eastAsia="Times New Roman" w:cs="Times New Roman" w:ascii="Times New Roman" w:hAnsi="Times New Roman"/>
                <w:sz w:val="26"/>
                <w:szCs w:val="26"/>
                <w:lang w:val="en-US" w:eastAsia="vi-VN"/>
              </w:rPr>
              <w:t xml:space="preserve"> (đồng)</w:t>
            </w:r>
          </w:p>
        </w:tc>
      </w:tr>
    </w:tbl>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2. Trường hợp cơ quan, đơn vị được Nhà nước cho thuê đất và được miễn  tiền thuê đất cho cả thời gian thuê, được Nhà nước cho thuê đất trả tiền một lần cho cả thời gian thuê hoặc nhận chuyển nhượng quyền sử dụng đất thuê mà</w:t>
      </w:r>
      <w:r>
        <w:rPr/>
        <w:t xml:space="preserve"> tiền thuê đất trả một lần, tiền nhận chuyển nhượng quyền sử dụng đất có nguồn gốc từ ngân sách nhà nước thì nguyên giá tài sản là quyền sử dụng đất được xác định như sau:</w:t>
      </w:r>
    </w:p>
    <w:tbl>
      <w:tblPr>
        <w:tblW w:w="9286" w:type="dxa"/>
        <w:jc w:val="left"/>
        <w:tblInd w:w="0" w:type="dxa"/>
        <w:tblLayout w:type="fixed"/>
        <w:tblCellMar>
          <w:top w:w="0" w:type="dxa"/>
          <w:left w:w="108" w:type="dxa"/>
          <w:bottom w:w="0" w:type="dxa"/>
          <w:right w:w="108" w:type="dxa"/>
        </w:tblCellMar>
      </w:tblPr>
      <w:tblGrid>
        <w:gridCol w:w="1242"/>
        <w:gridCol w:w="426"/>
        <w:gridCol w:w="850"/>
        <w:gridCol w:w="346"/>
        <w:gridCol w:w="2206"/>
        <w:gridCol w:w="346"/>
        <w:gridCol w:w="837"/>
        <w:gridCol w:w="363"/>
        <w:gridCol w:w="2670"/>
      </w:tblGrid>
      <w:tr>
        <w:trPr/>
        <w:tc>
          <w:tcPr>
            <w:tcW w:w="1242" w:type="dxa"/>
            <w:tcBorders/>
            <w:vAlign w:val="center"/>
          </w:tcPr>
          <w:p>
            <w:pPr>
              <w:pStyle w:val="Normal"/>
              <w:widowControl w:val="false"/>
              <w:spacing w:lineRule="auto" w:line="240" w:before="0" w:after="0"/>
              <w:jc w:val="center"/>
              <w:rPr>
                <w:rFonts w:ascii="Times New Roman" w:hAnsi="Times New Roman" w:eastAsia="Times New Roman" w:cs="Times New Roman"/>
                <w:sz w:val="26"/>
                <w:szCs w:val="26"/>
                <w:lang w:eastAsia="vi-VN"/>
              </w:rPr>
            </w:pPr>
            <w:r>
              <w:rPr>
                <w:rFonts w:eastAsia="Times New Roman" w:cs="Times New Roman" w:ascii="Times New Roman" w:hAnsi="Times New Roman"/>
                <w:sz w:val="26"/>
                <w:szCs w:val="26"/>
                <w:lang w:eastAsia="vi-VN"/>
              </w:rPr>
              <w:t>Nguyên giá tài sản là quyền sử dụng đất (đồng)</w:t>
            </w:r>
          </w:p>
        </w:tc>
        <w:tc>
          <w:tcPr>
            <w:tcW w:w="426" w:type="dxa"/>
            <w:tcBorders/>
            <w:vAlign w:val="center"/>
          </w:tcPr>
          <w:p>
            <w:pPr>
              <w:pStyle w:val="Normal"/>
              <w:widowControl w:val="false"/>
              <w:snapToGrid w:val="false"/>
              <w:spacing w:lineRule="auto" w:line="240" w:before="0" w:after="0"/>
              <w:jc w:val="center"/>
              <w:rPr>
                <w:rFonts w:ascii="Times New Roman" w:hAnsi="Times New Roman" w:eastAsia="Times New Roman" w:cs="Times New Roman"/>
                <w:sz w:val="26"/>
                <w:szCs w:val="26"/>
                <w:lang w:eastAsia="vi-VN"/>
              </w:rPr>
            </w:pPr>
            <w:r>
              <w:rPr>
                <w:rFonts w:eastAsia="Times New Roman" w:cs="Times New Roman" w:ascii="Times New Roman" w:hAnsi="Times New Roman"/>
                <w:sz w:val="26"/>
                <w:szCs w:val="26"/>
                <w:lang w:eastAsia="vi-VN"/>
              </w:rPr>
            </w:r>
          </w:p>
          <w:p>
            <w:pPr>
              <w:pStyle w:val="Normal"/>
              <w:widowControl w:val="false"/>
              <w:spacing w:lineRule="auto" w:line="240" w:before="0" w:after="0"/>
              <w:jc w:val="center"/>
              <w:rPr>
                <w:rFonts w:ascii="Times New Roman" w:hAnsi="Times New Roman" w:eastAsia="Times New Roman" w:cs="Times New Roman"/>
                <w:sz w:val="26"/>
                <w:szCs w:val="26"/>
                <w:lang w:val="en-US" w:eastAsia="vi-VN"/>
              </w:rPr>
            </w:pPr>
            <w:r>
              <w:rPr>
                <w:rFonts w:eastAsia="Times New Roman" w:cs="Times New Roman" w:ascii="Times New Roman" w:hAnsi="Times New Roman"/>
                <w:sz w:val="26"/>
                <w:szCs w:val="26"/>
                <w:lang w:val="en-US" w:eastAsia="vi-VN"/>
              </w:rPr>
              <w:t>=</w:t>
            </w:r>
          </w:p>
        </w:tc>
        <w:tc>
          <w:tcPr>
            <w:tcW w:w="850" w:type="dxa"/>
            <w:tcBorders/>
            <w:vAlign w:val="center"/>
          </w:tcPr>
          <w:p>
            <w:pPr>
              <w:pStyle w:val="Normal"/>
              <w:widowControl w:val="false"/>
              <w:spacing w:lineRule="auto" w:line="240" w:before="120" w:after="120"/>
              <w:jc w:val="center"/>
              <w:rPr/>
            </w:pPr>
            <w:r>
              <w:rPr>
                <w:rFonts w:eastAsia="Times New Roman" w:cs="Times New Roman" w:ascii="Times New Roman" w:hAnsi="Times New Roman"/>
                <w:sz w:val="26"/>
                <w:szCs w:val="26"/>
                <w:lang w:eastAsia="vi-VN"/>
              </w:rPr>
              <w:t>Diện tích đất (m</w:t>
            </w:r>
            <w:r>
              <w:rPr>
                <w:rFonts w:eastAsia="Times New Roman" w:cs="Times New Roman" w:ascii="Times New Roman" w:hAnsi="Times New Roman"/>
                <w:sz w:val="26"/>
                <w:szCs w:val="26"/>
                <w:vertAlign w:val="superscript"/>
                <w:lang w:eastAsia="vi-VN"/>
              </w:rPr>
              <w:t>2</w:t>
            </w:r>
            <w:r>
              <w:rPr>
                <w:rFonts w:eastAsia="Times New Roman" w:cs="Times New Roman" w:ascii="Times New Roman" w:hAnsi="Times New Roman"/>
                <w:sz w:val="26"/>
                <w:szCs w:val="26"/>
                <w:lang w:eastAsia="vi-VN"/>
              </w:rPr>
              <w:t>)</w:t>
            </w:r>
          </w:p>
        </w:tc>
        <w:tc>
          <w:tcPr>
            <w:tcW w:w="346" w:type="dxa"/>
            <w:tcBorders/>
            <w:vAlign w:val="center"/>
          </w:tcPr>
          <w:p>
            <w:pPr>
              <w:pStyle w:val="Normal"/>
              <w:widowControl w:val="false"/>
              <w:snapToGrid w:val="false"/>
              <w:spacing w:lineRule="auto" w:line="240" w:before="120" w:after="120"/>
              <w:jc w:val="center"/>
              <w:rPr>
                <w:rFonts w:ascii="Times New Roman" w:hAnsi="Times New Roman" w:eastAsia="Times New Roman" w:cs="Times New Roman"/>
                <w:sz w:val="26"/>
                <w:szCs w:val="26"/>
                <w:lang w:val="en-US" w:eastAsia="vi-VN"/>
              </w:rPr>
            </w:pPr>
            <w:r>
              <w:rPr>
                <w:rFonts w:eastAsia="Times New Roman" w:cs="Times New Roman" w:ascii="Times New Roman" w:hAnsi="Times New Roman"/>
                <w:sz w:val="26"/>
                <w:szCs w:val="26"/>
                <w:lang w:val="en-US" w:eastAsia="vi-VN"/>
              </w:rPr>
            </w:r>
          </w:p>
          <w:p>
            <w:pPr>
              <w:pStyle w:val="Normal"/>
              <w:widowControl w:val="false"/>
              <w:spacing w:lineRule="auto" w:line="240" w:before="120" w:after="120"/>
              <w:jc w:val="center"/>
              <w:rPr>
                <w:rFonts w:ascii="Times New Roman" w:hAnsi="Times New Roman" w:eastAsia="Times New Roman" w:cs="Times New Roman"/>
                <w:sz w:val="26"/>
                <w:szCs w:val="26"/>
                <w:lang w:eastAsia="vi-VN"/>
              </w:rPr>
            </w:pPr>
            <w:r>
              <w:rPr>
                <w:rFonts w:eastAsia="Times New Roman" w:cs="Times New Roman" w:ascii="Times New Roman" w:hAnsi="Times New Roman"/>
                <w:sz w:val="26"/>
                <w:szCs w:val="26"/>
                <w:lang w:val="en-US" w:eastAsia="vi-VN"/>
              </w:rPr>
              <w:t>x</w:t>
            </w:r>
          </w:p>
        </w:tc>
        <w:tc>
          <w:tcPr>
            <w:tcW w:w="2206" w:type="dxa"/>
            <w:tcBorders/>
            <w:vAlign w:val="center"/>
          </w:tcPr>
          <w:p>
            <w:pPr>
              <w:pStyle w:val="Normal"/>
              <w:widowControl w:val="false"/>
              <w:snapToGrid w:val="false"/>
              <w:spacing w:lineRule="auto" w:line="240" w:before="0" w:after="0"/>
              <w:jc w:val="center"/>
              <w:rPr>
                <w:rFonts w:ascii="Times New Roman" w:hAnsi="Times New Roman" w:eastAsia="Times New Roman" w:cs="Times New Roman"/>
                <w:sz w:val="26"/>
                <w:szCs w:val="26"/>
                <w:lang w:eastAsia="vi-VN"/>
              </w:rPr>
            </w:pPr>
            <w:r>
              <w:rPr>
                <w:rFonts w:eastAsia="Times New Roman" w:cs="Times New Roman" w:ascii="Times New Roman" w:hAnsi="Times New Roman"/>
                <w:sz w:val="26"/>
                <w:szCs w:val="26"/>
                <w:lang w:eastAsia="vi-VN"/>
              </w:rPr>
            </w:r>
          </w:p>
          <w:p>
            <w:pPr>
              <w:pStyle w:val="Normal"/>
              <w:widowControl w:val="false"/>
              <w:spacing w:lineRule="auto" w:line="240" w:before="0" w:after="0"/>
              <w:jc w:val="center"/>
              <w:rPr>
                <w:rFonts w:ascii="Times New Roman" w:hAnsi="Times New Roman" w:eastAsia="Times New Roman" w:cs="Times New Roman"/>
                <w:sz w:val="26"/>
                <w:szCs w:val="26"/>
                <w:lang w:eastAsia="vi-VN"/>
              </w:rPr>
            </w:pPr>
            <w:r>
              <w:rPr>
                <w:rFonts w:eastAsia="Times New Roman" w:cs="Times New Roman" w:ascii="Times New Roman" w:hAnsi="Times New Roman"/>
                <w:sz w:val="26"/>
                <w:szCs w:val="26"/>
                <w:lang w:eastAsia="vi-VN"/>
              </w:rPr>
              <w:t>Giá đất thương mại, dịch vụ theo Bảng giá đất (đồng)</w:t>
            </w:r>
          </w:p>
          <w:p>
            <w:pPr>
              <w:pStyle w:val="Normal"/>
              <w:widowControl w:val="false"/>
              <w:spacing w:lineRule="auto" w:line="240" w:before="0" w:after="0"/>
              <w:rPr>
                <w:rFonts w:ascii="Times New Roman" w:hAnsi="Times New Roman" w:eastAsia="Times New Roman" w:cs="Times New Roman"/>
                <w:sz w:val="26"/>
                <w:szCs w:val="26"/>
                <w:lang w:val="en-US" w:eastAsia="vi-VN"/>
              </w:rPr>
            </w:pPr>
            <w:r>
              <w:rPr>
                <w:rFonts w:eastAsia="Times New Roman" w:cs="Times New Roman" w:ascii="Times New Roman" w:hAnsi="Times New Roman"/>
                <w:sz w:val="26"/>
                <w:szCs w:val="26"/>
                <w:lang w:val="en-US" w:eastAsia="vi-VN"/>
              </w:rPr>
              <mc:AlternateContent>
                <mc:Choice Requires="wps">
                  <w:drawing>
                    <wp:anchor behindDoc="0" distT="0" distB="0" distL="114935" distR="114935" simplePos="0" locked="0" layoutInCell="1" allowOverlap="1" relativeHeight="7">
                      <wp:simplePos x="0" y="0"/>
                      <wp:positionH relativeFrom="column">
                        <wp:posOffset>65405</wp:posOffset>
                      </wp:positionH>
                      <wp:positionV relativeFrom="paragraph">
                        <wp:posOffset>33020</wp:posOffset>
                      </wp:positionV>
                      <wp:extent cx="1163320" cy="1270"/>
                      <wp:effectExtent l="635" t="5080" r="635" b="5080"/>
                      <wp:wrapNone/>
                      <wp:docPr id="4" name=""/>
                      <a:graphic xmlns:a="http://schemas.openxmlformats.org/drawingml/2006/main">
                        <a:graphicData uri="http://schemas.microsoft.com/office/word/2010/wordprocessingShape">
                          <wps:wsp>
                            <wps:cNvCnPr/>
                            <wps:spPr>
                              <a:xfrm>
                                <a:off x="0" y="0"/>
                                <a:ext cx="116352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5.15pt;margin-top:2.6pt;width:91.55pt;height:0.05pt" type="_x0000_t32">
                      <v:stroke color="black" weight="9360" joinstyle="miter" endcap="flat"/>
                      <v:fill o:detectmouseclick="t" on="false"/>
                      <w10:wrap type="none"/>
                    </v:shape>
                  </w:pict>
                </mc:Fallback>
              </mc:AlternateContent>
            </w:r>
          </w:p>
          <w:p>
            <w:pPr>
              <w:pStyle w:val="Normal"/>
              <w:widowControl w:val="false"/>
              <w:spacing w:lineRule="auto" w:line="240" w:before="0" w:after="0"/>
              <w:jc w:val="center"/>
              <w:rPr>
                <w:rFonts w:ascii="Times New Roman" w:hAnsi="Times New Roman" w:eastAsia="Times New Roman" w:cs="Times New Roman"/>
                <w:sz w:val="26"/>
                <w:szCs w:val="26"/>
                <w:lang w:eastAsia="vi-VN"/>
              </w:rPr>
            </w:pPr>
            <w:r>
              <w:rPr>
                <w:rFonts w:eastAsia="Times New Roman" w:cs="Times New Roman" w:ascii="Times New Roman" w:hAnsi="Times New Roman"/>
                <w:sz w:val="26"/>
                <w:szCs w:val="26"/>
                <w:lang w:val="en-US" w:eastAsia="vi-VN"/>
              </w:rPr>
              <w:t>70 năm</w:t>
            </w:r>
          </w:p>
        </w:tc>
        <w:tc>
          <w:tcPr>
            <w:tcW w:w="346" w:type="dxa"/>
            <w:tcBorders/>
            <w:vAlign w:val="center"/>
          </w:tcPr>
          <w:p>
            <w:pPr>
              <w:pStyle w:val="Normal"/>
              <w:widowControl w:val="false"/>
              <w:snapToGrid w:val="false"/>
              <w:spacing w:lineRule="auto" w:line="240" w:before="0" w:after="0"/>
              <w:jc w:val="center"/>
              <w:rPr>
                <w:rFonts w:ascii="Times New Roman" w:hAnsi="Times New Roman" w:eastAsia="Times New Roman" w:cs="Times New Roman"/>
                <w:sz w:val="26"/>
                <w:szCs w:val="26"/>
                <w:lang w:val="en-US" w:eastAsia="vi-VN"/>
              </w:rPr>
            </w:pPr>
            <w:r>
              <w:rPr>
                <w:rFonts w:eastAsia="Times New Roman" w:cs="Times New Roman" w:ascii="Times New Roman" w:hAnsi="Times New Roman"/>
                <w:sz w:val="26"/>
                <w:szCs w:val="26"/>
                <w:lang w:val="en-US" w:eastAsia="vi-VN"/>
              </w:rPr>
            </w:r>
          </w:p>
          <w:p>
            <w:pPr>
              <w:pStyle w:val="Normal"/>
              <w:widowControl w:val="false"/>
              <w:spacing w:lineRule="auto" w:line="240" w:before="0" w:after="0"/>
              <w:jc w:val="center"/>
              <w:rPr>
                <w:rFonts w:ascii="Times New Roman" w:hAnsi="Times New Roman" w:eastAsia="Times New Roman" w:cs="Times New Roman"/>
                <w:sz w:val="26"/>
                <w:szCs w:val="26"/>
                <w:lang w:val="en-US" w:eastAsia="vi-VN"/>
              </w:rPr>
            </w:pPr>
            <w:r>
              <w:rPr>
                <w:rFonts w:eastAsia="Times New Roman" w:cs="Times New Roman" w:ascii="Times New Roman" w:hAnsi="Times New Roman"/>
                <w:sz w:val="26"/>
                <w:szCs w:val="26"/>
                <w:lang w:val="en-US" w:eastAsia="vi-VN"/>
              </w:rPr>
              <w:t>x</w:t>
            </w:r>
          </w:p>
        </w:tc>
        <w:tc>
          <w:tcPr>
            <w:tcW w:w="837" w:type="dxa"/>
            <w:tcBorders/>
            <w:vAlign w:val="center"/>
          </w:tcPr>
          <w:p>
            <w:pPr>
              <w:pStyle w:val="Normal"/>
              <w:widowControl w:val="false"/>
              <w:snapToGrid w:val="false"/>
              <w:spacing w:lineRule="auto" w:line="240" w:before="0" w:after="0"/>
              <w:jc w:val="center"/>
              <w:rPr>
                <w:rFonts w:ascii="Times New Roman" w:hAnsi="Times New Roman" w:eastAsia="Times New Roman" w:cs="Times New Roman"/>
                <w:sz w:val="26"/>
                <w:szCs w:val="26"/>
                <w:lang w:val="en-US" w:eastAsia="vi-VN"/>
              </w:rPr>
            </w:pPr>
            <w:r>
              <w:rPr>
                <w:rFonts w:eastAsia="Times New Roman" w:cs="Times New Roman" w:ascii="Times New Roman" w:hAnsi="Times New Roman"/>
                <w:sz w:val="26"/>
                <w:szCs w:val="26"/>
                <w:lang w:val="en-US" w:eastAsia="vi-VN"/>
              </w:rPr>
            </w:r>
          </w:p>
          <w:p>
            <w:pPr>
              <w:pStyle w:val="Normal"/>
              <w:widowControl w:val="false"/>
              <w:spacing w:lineRule="auto" w:line="240" w:before="0" w:after="0"/>
              <w:jc w:val="center"/>
              <w:rPr>
                <w:rFonts w:ascii="Times New Roman" w:hAnsi="Times New Roman" w:eastAsia="Times New Roman" w:cs="Times New Roman"/>
                <w:sz w:val="26"/>
                <w:szCs w:val="26"/>
                <w:lang w:val="en-US" w:eastAsia="vi-VN"/>
              </w:rPr>
            </w:pPr>
            <w:r>
              <w:rPr>
                <w:rFonts w:eastAsia="Times New Roman" w:cs="Times New Roman" w:ascii="Times New Roman" w:hAnsi="Times New Roman"/>
                <w:sz w:val="26"/>
                <w:szCs w:val="26"/>
                <w:lang w:eastAsia="vi-VN"/>
              </w:rPr>
              <w:t xml:space="preserve">Thời hạn </w:t>
            </w:r>
            <w:r>
              <w:rPr>
                <w:rFonts w:eastAsia="Times New Roman" w:cs="Times New Roman" w:ascii="Times New Roman" w:hAnsi="Times New Roman"/>
                <w:sz w:val="26"/>
                <w:szCs w:val="26"/>
                <w:lang w:val="en-US" w:eastAsia="vi-VN"/>
              </w:rPr>
              <w:t>thuê</w:t>
            </w:r>
            <w:r>
              <w:rPr>
                <w:rFonts w:eastAsia="Times New Roman" w:cs="Times New Roman" w:ascii="Times New Roman" w:hAnsi="Times New Roman"/>
                <w:b/>
                <w:i/>
                <w:color w:val="FF0000"/>
                <w:sz w:val="26"/>
                <w:szCs w:val="26"/>
                <w:lang w:val="en-US" w:eastAsia="vi-VN"/>
              </w:rPr>
              <w:t xml:space="preserve"> </w:t>
            </w:r>
            <w:r>
              <w:rPr>
                <w:rFonts w:eastAsia="Times New Roman" w:cs="Times New Roman" w:ascii="Times New Roman" w:hAnsi="Times New Roman"/>
                <w:sz w:val="26"/>
                <w:szCs w:val="26"/>
                <w:lang w:eastAsia="vi-VN"/>
              </w:rPr>
              <w:t>đất (năm)</w:t>
            </w:r>
          </w:p>
        </w:tc>
        <w:tc>
          <w:tcPr>
            <w:tcW w:w="363" w:type="dxa"/>
            <w:tcBorders/>
            <w:vAlign w:val="center"/>
          </w:tcPr>
          <w:p>
            <w:pPr>
              <w:pStyle w:val="Normal"/>
              <w:widowControl w:val="false"/>
              <w:snapToGrid w:val="false"/>
              <w:spacing w:lineRule="auto" w:line="240" w:before="120" w:after="120"/>
              <w:jc w:val="center"/>
              <w:rPr>
                <w:rFonts w:ascii="Times New Roman" w:hAnsi="Times New Roman" w:eastAsia="Times New Roman" w:cs="Times New Roman"/>
                <w:sz w:val="26"/>
                <w:szCs w:val="26"/>
                <w:lang w:val="en-US" w:eastAsia="vi-VN"/>
              </w:rPr>
            </w:pPr>
            <w:r>
              <w:rPr>
                <w:rFonts w:eastAsia="Times New Roman" w:cs="Times New Roman" w:ascii="Times New Roman" w:hAnsi="Times New Roman"/>
                <w:sz w:val="26"/>
                <w:szCs w:val="26"/>
                <w:lang w:val="en-US" w:eastAsia="vi-VN"/>
              </w:rPr>
            </w:r>
          </w:p>
          <w:p>
            <w:pPr>
              <w:pStyle w:val="Normal"/>
              <w:widowControl w:val="false"/>
              <w:spacing w:lineRule="auto" w:line="240" w:before="120" w:after="120"/>
              <w:jc w:val="center"/>
              <w:rPr>
                <w:rFonts w:ascii="Times New Roman" w:hAnsi="Times New Roman" w:eastAsia="Times New Roman" w:cs="Times New Roman"/>
                <w:sz w:val="26"/>
                <w:szCs w:val="26"/>
                <w:lang w:eastAsia="vi-VN"/>
              </w:rPr>
            </w:pPr>
            <w:r>
              <w:rPr>
                <w:rFonts w:eastAsia="Times New Roman" w:cs="Times New Roman" w:ascii="Times New Roman" w:hAnsi="Times New Roman"/>
                <w:sz w:val="26"/>
                <w:szCs w:val="26"/>
                <w:lang w:eastAsia="vi-VN"/>
              </w:rPr>
              <w:t>+</w:t>
            </w:r>
          </w:p>
        </w:tc>
        <w:tc>
          <w:tcPr>
            <w:tcW w:w="2670" w:type="dxa"/>
            <w:tcBorders/>
            <w:vAlign w:val="center"/>
          </w:tcPr>
          <w:p>
            <w:pPr>
              <w:pStyle w:val="Normal"/>
              <w:widowControl w:val="false"/>
              <w:spacing w:lineRule="auto" w:line="240" w:before="120" w:after="120"/>
              <w:jc w:val="center"/>
              <w:rPr>
                <w:rFonts w:ascii="Times New Roman" w:hAnsi="Times New Roman" w:eastAsia="Times New Roman" w:cs="Times New Roman"/>
                <w:sz w:val="26"/>
                <w:szCs w:val="26"/>
                <w:lang w:val="en-US" w:eastAsia="vi-VN"/>
              </w:rPr>
            </w:pPr>
            <w:r>
              <w:rPr>
                <w:rFonts w:eastAsia="Times New Roman" w:cs="Times New Roman" w:ascii="Times New Roman" w:hAnsi="Times New Roman"/>
                <w:sz w:val="26"/>
                <w:szCs w:val="26"/>
                <w:lang w:eastAsia="vi-VN"/>
              </w:rPr>
              <w:t>Các khoản thuế (không bao gồm các khoản thuế được khấu trừ, hoàn lại) và các khoản phí, lệ phí theo quy định của pháp luật về phí và lệ phí</w:t>
            </w:r>
            <w:r>
              <w:rPr>
                <w:rFonts w:eastAsia="Times New Roman" w:cs="Times New Roman" w:ascii="Times New Roman" w:hAnsi="Times New Roman"/>
                <w:sz w:val="26"/>
                <w:szCs w:val="26"/>
                <w:lang w:val="en-US" w:eastAsia="vi-VN"/>
              </w:rPr>
              <w:t xml:space="preserve"> (đồng)</w:t>
            </w:r>
          </w:p>
        </w:tc>
      </w:tr>
    </w:tbl>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rPr>
        <w:t xml:space="preserve">Tiền thuê đất đã nộp, tiền nhận chuyển nhượng quyền sử dụng đất đã trả được xác định là có nguồn gốc từ ngân sách nhà nước trong các trường hợp </w:t>
      </w:r>
      <w:r>
        <w:rPr>
          <w:rFonts w:cs="Times New Roman" w:ascii="Times New Roman" w:hAnsi="Times New Roman"/>
          <w:sz w:val="28"/>
          <w:szCs w:val="28"/>
        </w:rPr>
        <w:t>quy định tại các điểm a, b và c khoản 3 Điều 42 Nghị định số 151/2017/NĐ-CP ngày 26 tháng 12 năm 2017 của Chính phủ quy định chi tiết một số điều của Luật Quản lý, sử dụng tài sản công</w:t>
      </w:r>
      <w:r>
        <w:rPr>
          <w:rFonts w:cs="Times New Roman" w:ascii="Times New Roman" w:hAnsi="Times New Roman"/>
          <w:sz w:val="28"/>
          <w:szCs w:val="28"/>
          <w:lang w:val="en-US"/>
        </w:rPr>
        <w:t xml:space="preserve"> (</w:t>
      </w:r>
      <w:r>
        <w:rPr>
          <w:rFonts w:cs="Times New Roman" w:ascii="Times New Roman" w:hAnsi="Times New Roman"/>
          <w:sz w:val="28"/>
          <w:szCs w:val="28"/>
        </w:rPr>
        <w:t>được sửa đổi tại khoản 38 Điều 1 Nghị định số 114/2024/NĐ-CP ngày 15 tháng 9 năm 2024 của Chính phủ sửa đổi, bổ sung một số điều của Nghị định số 151/2017/NĐ-CP</w:t>
      </w:r>
      <w:r>
        <w:rPr>
          <w:rFonts w:cs="Times New Roman" w:ascii="Times New Roman" w:hAnsi="Times New Roman"/>
          <w:sz w:val="28"/>
          <w:szCs w:val="28"/>
          <w:lang w:val="en-US"/>
        </w:rPr>
        <w:t>).</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 xml:space="preserve">3. Trường hợp cơ quan, đơn vị được Nhà nước cho thuê đất trả tiền thuê đất một lần cho cả thời gian thuê theo quy định của pháp luật về đất đai mà tiền thuê đất đã nộp không có nguồn gốc từ ngân sách nhà nước, đất do cơ quan, đơn vị nhận chuyển nhượng quyền sử dụng đất mà tiền nhận chuyển nhượng quyền sử dụng đất đã trả không có nguồn gốc từ ngân sách nhà nước thì nguyên giá tài sản là quyền sử dụng đất </w:t>
      </w:r>
      <w:r>
        <w:rPr/>
        <w:t>xác định như sau:</w:t>
      </w:r>
    </w:p>
    <w:tbl>
      <w:tblPr>
        <w:tblW w:w="9322" w:type="dxa"/>
        <w:jc w:val="left"/>
        <w:tblInd w:w="0" w:type="dxa"/>
        <w:tblLayout w:type="fixed"/>
        <w:tblCellMar>
          <w:top w:w="0" w:type="dxa"/>
          <w:left w:w="108" w:type="dxa"/>
          <w:bottom w:w="0" w:type="dxa"/>
          <w:right w:w="108" w:type="dxa"/>
        </w:tblCellMar>
      </w:tblPr>
      <w:tblGrid>
        <w:gridCol w:w="1526"/>
        <w:gridCol w:w="425"/>
        <w:gridCol w:w="1696"/>
        <w:gridCol w:w="289"/>
        <w:gridCol w:w="3402"/>
        <w:gridCol w:w="283"/>
        <w:gridCol w:w="1701"/>
      </w:tblGrid>
      <w:tr>
        <w:trPr/>
        <w:tc>
          <w:tcPr>
            <w:tcW w:w="1526" w:type="dxa"/>
            <w:tcBorders/>
            <w:vAlign w:val="center"/>
          </w:tcPr>
          <w:p>
            <w:pPr>
              <w:pStyle w:val="Normal"/>
              <w:widowControl w:val="false"/>
              <w:spacing w:lineRule="auto" w:line="240" w:before="0" w:after="0"/>
              <w:jc w:val="center"/>
              <w:rPr>
                <w:rFonts w:ascii="Times New Roman" w:hAnsi="Times New Roman" w:eastAsia="Times New Roman" w:cs="Times New Roman"/>
                <w:sz w:val="25"/>
                <w:szCs w:val="25"/>
                <w:lang w:eastAsia="vi-VN"/>
              </w:rPr>
            </w:pPr>
            <w:r>
              <w:rPr>
                <w:rFonts w:eastAsia="Times New Roman" w:cs="Times New Roman" w:ascii="Times New Roman" w:hAnsi="Times New Roman"/>
                <w:sz w:val="25"/>
                <w:szCs w:val="25"/>
                <w:lang w:eastAsia="vi-VN"/>
              </w:rPr>
              <w:t>Nguyên giá tài sản là quyền sử dụng đất (đồng)</w:t>
            </w:r>
          </w:p>
        </w:tc>
        <w:tc>
          <w:tcPr>
            <w:tcW w:w="425" w:type="dxa"/>
            <w:tcBorders/>
            <w:vAlign w:val="center"/>
          </w:tcPr>
          <w:p>
            <w:pPr>
              <w:pStyle w:val="Normal"/>
              <w:widowControl w:val="false"/>
              <w:spacing w:lineRule="auto" w:line="240" w:before="0" w:after="0"/>
              <w:jc w:val="center"/>
              <w:rPr>
                <w:rFonts w:ascii="Times New Roman" w:hAnsi="Times New Roman" w:eastAsia="Times New Roman" w:cs="Times New Roman"/>
                <w:sz w:val="25"/>
                <w:szCs w:val="25"/>
                <w:lang w:val="en-US" w:eastAsia="vi-VN"/>
              </w:rPr>
            </w:pPr>
            <w:r>
              <w:rPr>
                <w:rFonts w:eastAsia="Times New Roman" w:cs="Times New Roman" w:ascii="Times New Roman" w:hAnsi="Times New Roman"/>
                <w:sz w:val="25"/>
                <w:szCs w:val="25"/>
                <w:lang w:val="en-US" w:eastAsia="vi-VN"/>
              </w:rPr>
              <w:t>=</w:t>
            </w:r>
          </w:p>
        </w:tc>
        <w:tc>
          <w:tcPr>
            <w:tcW w:w="1696" w:type="dxa"/>
            <w:tcBorders/>
            <w:vAlign w:val="center"/>
          </w:tcPr>
          <w:p>
            <w:pPr>
              <w:pStyle w:val="Normal"/>
              <w:widowControl w:val="false"/>
              <w:spacing w:lineRule="auto" w:line="240" w:before="0" w:after="0"/>
              <w:jc w:val="center"/>
              <w:rPr>
                <w:rFonts w:ascii="Times New Roman" w:hAnsi="Times New Roman" w:eastAsia="Times New Roman" w:cs="Times New Roman"/>
                <w:sz w:val="25"/>
                <w:szCs w:val="25"/>
                <w:lang w:val="en-US" w:eastAsia="vi-VN"/>
              </w:rPr>
            </w:pPr>
            <w:r>
              <w:rPr>
                <w:rFonts w:eastAsia="Times New Roman" w:cs="Times New Roman" w:ascii="Times New Roman" w:hAnsi="Times New Roman"/>
                <w:sz w:val="25"/>
                <w:szCs w:val="25"/>
                <w:lang w:eastAsia="vi-VN"/>
              </w:rPr>
              <w:t>Số tiền thuê đất nộp một lần cho cả thời gian thuê, tiền nhận chuyển nhượng quyền sử dụng đất đã trả (đồng)</w:t>
            </w:r>
          </w:p>
        </w:tc>
        <w:tc>
          <w:tcPr>
            <w:tcW w:w="289" w:type="dxa"/>
            <w:tcBorders/>
            <w:vAlign w:val="center"/>
          </w:tcPr>
          <w:p>
            <w:pPr>
              <w:pStyle w:val="Normal"/>
              <w:widowControl w:val="false"/>
              <w:spacing w:lineRule="auto" w:line="240" w:before="0" w:after="0"/>
              <w:jc w:val="center"/>
              <w:rPr>
                <w:rFonts w:ascii="Times New Roman" w:hAnsi="Times New Roman" w:eastAsia="Times New Roman" w:cs="Times New Roman"/>
                <w:sz w:val="25"/>
                <w:szCs w:val="25"/>
                <w:lang w:eastAsia="vi-VN"/>
              </w:rPr>
            </w:pPr>
            <w:r>
              <w:rPr>
                <w:rFonts w:eastAsia="Times New Roman" w:cs="Times New Roman" w:ascii="Times New Roman" w:hAnsi="Times New Roman"/>
                <w:sz w:val="25"/>
                <w:szCs w:val="25"/>
                <w:lang w:eastAsia="vi-VN"/>
              </w:rPr>
              <w:t>+</w:t>
            </w:r>
          </w:p>
        </w:tc>
        <w:tc>
          <w:tcPr>
            <w:tcW w:w="3402" w:type="dxa"/>
            <w:tcBorders/>
            <w:vAlign w:val="center"/>
          </w:tcPr>
          <w:p>
            <w:pPr>
              <w:pStyle w:val="Normal"/>
              <w:widowControl w:val="false"/>
              <w:spacing w:lineRule="auto" w:line="240" w:before="0" w:after="0"/>
              <w:jc w:val="center"/>
              <w:rPr>
                <w:rFonts w:ascii="Times New Roman" w:hAnsi="Times New Roman" w:eastAsia="Times New Roman" w:cs="Times New Roman"/>
                <w:sz w:val="25"/>
                <w:szCs w:val="25"/>
                <w:lang w:val="en-US" w:eastAsia="vi-VN"/>
              </w:rPr>
            </w:pPr>
            <w:r>
              <w:rPr>
                <w:rFonts w:eastAsia="Times New Roman" w:cs="Times New Roman" w:ascii="Times New Roman" w:hAnsi="Times New Roman"/>
                <w:sz w:val="25"/>
                <w:szCs w:val="25"/>
                <w:lang w:eastAsia="vi-VN"/>
              </w:rPr>
              <w:t>Chi phí bồi thường, giải phóng mặt bằng đối với trường hợp Nhà nước cho thuê đất trả tiền thuê đất một lần cho cả thời gian thuê (nếu có và trong trường hợp chi phí bồi thường, giải phóng mặt bằng chưa tính vào vốn đầu tư dự án, chưa tính vào chi phí sản xuất kinh doanh hoặc chưa được cơ quan, người có thẩm quyền cho phép trừ</w:t>
            </w:r>
            <w:r>
              <w:rPr>
                <w:rFonts w:eastAsia="Times New Roman" w:cs="Times New Roman" w:ascii="Times New Roman" w:hAnsi="Times New Roman"/>
                <w:sz w:val="25"/>
                <w:szCs w:val="25"/>
                <w:lang w:val="en-US" w:eastAsia="vi-VN"/>
              </w:rPr>
              <w:t xml:space="preserve"> hoặc </w:t>
            </w:r>
            <w:r>
              <w:rPr>
                <w:rFonts w:eastAsia="Times New Roman" w:cs="Times New Roman" w:ascii="Times New Roman" w:hAnsi="Times New Roman"/>
                <w:sz w:val="25"/>
                <w:szCs w:val="25"/>
                <w:lang w:eastAsia="vi-VN"/>
              </w:rPr>
              <w:t>khấu trừ vào tiền thuê đất phải nộp)</w:t>
            </w:r>
            <w:r>
              <w:rPr>
                <w:rFonts w:eastAsia="Times New Roman" w:cs="Times New Roman" w:ascii="Times New Roman" w:hAnsi="Times New Roman"/>
                <w:sz w:val="25"/>
                <w:szCs w:val="25"/>
                <w:lang w:val="en-US" w:eastAsia="vi-VN"/>
              </w:rPr>
              <w:t xml:space="preserve"> (đồng)</w:t>
            </w:r>
          </w:p>
        </w:tc>
        <w:tc>
          <w:tcPr>
            <w:tcW w:w="283" w:type="dxa"/>
            <w:tcBorders/>
            <w:vAlign w:val="center"/>
          </w:tcPr>
          <w:p>
            <w:pPr>
              <w:pStyle w:val="Normal"/>
              <w:widowControl w:val="false"/>
              <w:spacing w:lineRule="auto" w:line="240" w:before="0" w:after="0"/>
              <w:jc w:val="center"/>
              <w:rPr>
                <w:rFonts w:ascii="Times New Roman" w:hAnsi="Times New Roman" w:eastAsia="Times New Roman" w:cs="Times New Roman"/>
                <w:sz w:val="25"/>
                <w:szCs w:val="25"/>
                <w:lang w:eastAsia="vi-VN"/>
              </w:rPr>
            </w:pPr>
            <w:r>
              <w:rPr>
                <w:rFonts w:eastAsia="Times New Roman" w:cs="Times New Roman" w:ascii="Times New Roman" w:hAnsi="Times New Roman"/>
                <w:sz w:val="25"/>
                <w:szCs w:val="25"/>
                <w:lang w:eastAsia="vi-VN"/>
              </w:rPr>
              <w:t>+</w:t>
            </w:r>
          </w:p>
        </w:tc>
        <w:tc>
          <w:tcPr>
            <w:tcW w:w="1701" w:type="dxa"/>
            <w:tcBorders/>
            <w:vAlign w:val="center"/>
          </w:tcPr>
          <w:p>
            <w:pPr>
              <w:pStyle w:val="Normal"/>
              <w:widowControl w:val="false"/>
              <w:spacing w:lineRule="auto" w:line="240" w:before="0" w:after="0"/>
              <w:jc w:val="center"/>
              <w:rPr>
                <w:rFonts w:ascii="Times New Roman" w:hAnsi="Times New Roman" w:eastAsia="Times New Roman" w:cs="Times New Roman"/>
                <w:sz w:val="25"/>
                <w:szCs w:val="25"/>
                <w:lang w:val="en-US" w:eastAsia="vi-VN"/>
              </w:rPr>
            </w:pPr>
            <w:r>
              <w:rPr>
                <w:rFonts w:eastAsia="Times New Roman" w:cs="Times New Roman" w:ascii="Times New Roman" w:hAnsi="Times New Roman"/>
                <w:sz w:val="25"/>
                <w:szCs w:val="25"/>
                <w:lang w:eastAsia="vi-VN"/>
              </w:rPr>
              <w:t>Các khoản thuế (không bao gồm các khoản thuế được khấu trừ, hoàn lại) và các khoản phí, lệ phí theo quy định của pháp luật về phí và lệ phí</w:t>
            </w:r>
            <w:r>
              <w:rPr>
                <w:rFonts w:eastAsia="Times New Roman" w:cs="Times New Roman" w:ascii="Times New Roman" w:hAnsi="Times New Roman"/>
                <w:sz w:val="25"/>
                <w:szCs w:val="25"/>
                <w:lang w:val="en-US" w:eastAsia="vi-VN"/>
              </w:rPr>
              <w:t xml:space="preserve"> (đồng)</w:t>
            </w:r>
          </w:p>
        </w:tc>
      </w:tr>
    </w:tbl>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4. Trường hợp thuê đất trả tiền thuê đất hàng năm thì không phải xác định nguyên giá tài sản là quyền sử dụng đất.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5. Nguyên giá tài sản là quyền sử dụng đất được điều chỉnh trong các trường hợp sau:</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 xml:space="preserve">a) </w:t>
      </w:r>
      <w:r>
        <w:rPr>
          <w:rFonts w:eastAsia="Times New Roman" w:cs="Times New Roman" w:ascii="Times New Roman" w:hAnsi="Times New Roman"/>
          <w:sz w:val="28"/>
          <w:szCs w:val="28"/>
        </w:rPr>
        <w:t>Điều chỉnh theo định kỳ 05 năm một lần bắt đầu từ năm 2026.</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b) Khi diện tích đất sử dụng có thay đổi so với diện tích đất đã được xác định nguyên giá quyền sử dụng đất trong trường hợp: thực hiện kiểm kê đất đai theo quy định của pháp luật; khi có quyết định của cơ quan nhà nước có thẩm quyền thu hồi, giao bổ sung hoặc chuyển nhượng, nhận chuyển nhượng thêm một phần diện tích đất theo quy định của pháp luật; các trường hợp khác làm thay đổi diện tích đất được cơ quan nhà nước có thẩm quyền xác nhận</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c) Thay đổi hình thức sử dụng đất theo quyết định của cơ quan nhà nước có thẩm quyền</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cs="Arial"/>
          <w:sz w:val="15"/>
          <w:szCs w:val="15"/>
        </w:rPr>
      </w:pPr>
      <w:r>
        <w:rPr>
          <w:rFonts w:eastAsia="Times New Roman" w:cs="Times New Roman" w:ascii="Times New Roman" w:hAnsi="Times New Roman"/>
          <w:sz w:val="28"/>
          <w:szCs w:val="28"/>
          <w:lang w:eastAsia="vi-VN"/>
        </w:rPr>
        <w:t>d) Khi kiểm kê, đánh giá lại giá trị tài sản công theo quyết định của cơ quan, người có thẩm quyền.</w:t>
      </w:r>
    </w:p>
    <w:p>
      <w:pPr>
        <w:pStyle w:val="Normal"/>
        <w:widowControl w:val="false"/>
        <w:numPr>
          <w:ilvl w:val="0"/>
          <w:numId w:val="0"/>
        </w:numPr>
        <w:shd w:fill="FFFFFF" w:val="clear"/>
        <w:spacing w:lineRule="auto" w:line="264" w:before="120" w:after="120"/>
        <w:ind w:firstLine="567" w:right="0"/>
        <w:jc w:val="both"/>
        <w:outlineLvl w:val="0"/>
        <w:rPr>
          <w:rFonts w:ascii="Times New Roman" w:hAnsi="Times New Roman" w:eastAsia="Times New Roman" w:cs="Times New Roman"/>
          <w:sz w:val="28"/>
          <w:szCs w:val="28"/>
          <w:lang w:eastAsia="vi-VN"/>
        </w:rPr>
      </w:pPr>
      <w:bookmarkStart w:id="20" w:name="dieu_5"/>
      <w:r>
        <w:rPr>
          <w:rFonts w:eastAsia="Times New Roman" w:cs="Times New Roman" w:ascii="Times New Roman" w:hAnsi="Times New Roman"/>
          <w:b/>
          <w:bCs/>
          <w:sz w:val="28"/>
          <w:szCs w:val="28"/>
          <w:lang w:eastAsia="vi-VN"/>
        </w:rPr>
        <w:t>Điều 6. Xác định nguyên giá tài sản kết cấu hạ tầng chợ</w:t>
      </w:r>
      <w:bookmarkEnd w:id="20"/>
      <w:r>
        <w:rPr>
          <w:rFonts w:eastAsia="Times New Roman" w:cs="Times New Roman" w:ascii="Times New Roman" w:hAnsi="Times New Roman"/>
          <w:b/>
          <w:bCs/>
          <w:sz w:val="28"/>
          <w:szCs w:val="28"/>
          <w:lang w:eastAsia="vi-VN"/>
        </w:rPr>
        <w:t xml:space="preserve"> không phải là quyền sử dụng đất</w:t>
      </w:r>
    </w:p>
    <w:p>
      <w:pPr>
        <w:pStyle w:val="Normal"/>
        <w:widowControl w:val="false"/>
        <w:shd w:fill="FFFFFF" w:val="clear"/>
        <w:spacing w:lineRule="auto" w:line="264" w:before="120" w:after="120"/>
        <w:ind w:firstLine="567" w:right="0"/>
        <w:jc w:val="both"/>
        <w:rPr/>
      </w:pPr>
      <w:r>
        <w:rPr>
          <w:rFonts w:eastAsia="Times New Roman" w:cs="Times New Roman" w:ascii="Times New Roman" w:hAnsi="Times New Roman"/>
          <w:sz w:val="28"/>
          <w:szCs w:val="28"/>
          <w:lang w:eastAsia="vi-VN"/>
        </w:rPr>
        <w:t>1. Nguyên giá của tài sản kết cấu hạ tầng chợ đã đưa vào sử dụng trước ngày Nghị định số </w:t>
      </w:r>
      <w:hyperlink r:id="rId8" w:tgtFrame="_blank">
        <w:r>
          <w:rPr>
            <w:rStyle w:val="Hyperlink"/>
            <w:rFonts w:eastAsia="Times New Roman" w:cs="Times New Roman" w:ascii="Times New Roman" w:hAnsi="Times New Roman"/>
            <w:sz w:val="28"/>
            <w:szCs w:val="28"/>
            <w:lang w:eastAsia="vi-VN"/>
          </w:rPr>
          <w:t>60/2024/NĐ-CP</w:t>
        </w:r>
      </w:hyperlink>
      <w:r>
        <w:rPr>
          <w:rFonts w:eastAsia="Times New Roman" w:cs="Times New Roman" w:ascii="Times New Roman" w:hAnsi="Times New Roman"/>
          <w:sz w:val="28"/>
          <w:szCs w:val="28"/>
          <w:lang w:eastAsia="vi-VN"/>
        </w:rPr>
        <w:t> có hiệu lực thi hành (ngày 01 tháng 8 năm 2024) được xác định như sau:</w:t>
      </w:r>
    </w:p>
    <w:p>
      <w:pPr>
        <w:pStyle w:val="Normal"/>
        <w:widowControl w:val="false"/>
        <w:shd w:fill="FFFFFF" w:val="clear"/>
        <w:spacing w:lineRule="auto" w:line="264"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a) Đối với tài sản kết cấu hạ tầng chợ đang được theo dõi, ghi sổ kế toán thì nguyên giá tài sản là nguyên giá đang được theo dõi, ghi sổ kế toán</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64" w:before="120" w:after="120"/>
        <w:ind w:firstLine="567" w:right="0"/>
        <w:jc w:val="both"/>
        <w:rPr/>
      </w:pPr>
      <w:r>
        <w:rPr>
          <w:rFonts w:eastAsia="Times New Roman" w:cs="Times New Roman" w:ascii="Times New Roman" w:hAnsi="Times New Roman"/>
          <w:sz w:val="28"/>
          <w:szCs w:val="28"/>
          <w:lang w:eastAsia="vi-VN"/>
        </w:rPr>
        <w:t>b) Đối với tài sản kết cấu hạ tầng chợ chưa được theo dõi, ghi sổ kế toán:</w:t>
      </w:r>
    </w:p>
    <w:p>
      <w:pPr>
        <w:pStyle w:val="Normal"/>
        <w:widowControl w:val="false"/>
        <w:shd w:fill="FFFFFF" w:val="clear"/>
        <w:spacing w:lineRule="auto" w:line="264" w:before="120" w:after="120"/>
        <w:ind w:firstLine="567" w:right="0"/>
        <w:jc w:val="both"/>
        <w:rPr>
          <w:rFonts w:ascii="Times New Roman" w:hAnsi="Times New Roman" w:eastAsia="Times New Roman" w:cs="Times New Roman"/>
          <w:spacing w:val="-2"/>
          <w:sz w:val="28"/>
          <w:szCs w:val="28"/>
          <w:lang w:val="en-US" w:eastAsia="vi-VN"/>
        </w:rPr>
      </w:pPr>
      <w:r>
        <w:rPr>
          <w:rFonts w:eastAsia="Times New Roman" w:cs="Times New Roman" w:ascii="Times New Roman" w:hAnsi="Times New Roman"/>
          <w:spacing w:val="-2"/>
          <w:sz w:val="28"/>
          <w:szCs w:val="28"/>
          <w:lang w:eastAsia="vi-VN"/>
        </w:rPr>
        <w:t>b1) Trường hợp có hồ sơ xác định giá mua hoặc giá xây dựng của tài sản đó thì sử dụng giá mua, giá xây dựng theo hồ sơ để xác định nguyên giá của tài sản</w:t>
      </w:r>
      <w:r>
        <w:rPr>
          <w:rFonts w:eastAsia="Times New Roman" w:cs="Times New Roman" w:ascii="Times New Roman" w:hAnsi="Times New Roman"/>
          <w:spacing w:val="-2"/>
          <w:sz w:val="28"/>
          <w:szCs w:val="28"/>
          <w:lang w:val="en-US" w:eastAsia="vi-VN"/>
        </w:rPr>
        <w:t>.</w:t>
      </w:r>
    </w:p>
    <w:p>
      <w:pPr>
        <w:pStyle w:val="Normal"/>
        <w:widowControl w:val="false"/>
        <w:shd w:fill="FFFFFF" w:val="clear"/>
        <w:spacing w:lineRule="auto" w:line="264"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 xml:space="preserve">b2) Trường hợp </w:t>
      </w:r>
      <w:r>
        <w:rPr>
          <w:rFonts w:eastAsia="Times New Roman" w:cs="Times New Roman" w:ascii="Times New Roman" w:hAnsi="Times New Roman"/>
          <w:sz w:val="28"/>
          <w:szCs w:val="28"/>
          <w:lang w:val="nl-NL" w:eastAsia="vi-VN"/>
        </w:rPr>
        <w:t>không có hồ</w:t>
      </w:r>
      <w:r>
        <w:rPr>
          <w:rFonts w:eastAsia="Times New Roman" w:cs="Times New Roman" w:ascii="Times New Roman" w:hAnsi="Times New Roman"/>
          <w:sz w:val="28"/>
          <w:szCs w:val="28"/>
          <w:lang w:eastAsia="vi-VN"/>
        </w:rPr>
        <w:t xml:space="preserve"> sơ</w:t>
      </w:r>
      <w:r>
        <w:rPr>
          <w:rFonts w:eastAsia="Times New Roman" w:cs="Times New Roman" w:ascii="Times New Roman" w:hAnsi="Times New Roman"/>
          <w:sz w:val="28"/>
          <w:szCs w:val="28"/>
          <w:lang w:val="nl-NL" w:eastAsia="vi-VN"/>
        </w:rPr>
        <w:t xml:space="preserve"> theo quy định tại điểm b1 khoản này nhưng</w:t>
      </w:r>
      <w:r>
        <w:rPr>
          <w:rFonts w:eastAsia="Times New Roman" w:cs="Times New Roman" w:ascii="Times New Roman" w:hAnsi="Times New Roman"/>
          <w:sz w:val="24"/>
          <w:szCs w:val="24"/>
          <w:lang w:val="nl-NL" w:eastAsia="vi-VN"/>
        </w:rPr>
        <w:t xml:space="preserve"> </w:t>
      </w:r>
      <w:r>
        <w:rPr>
          <w:rFonts w:eastAsia="Times New Roman" w:cs="Times New Roman" w:ascii="Times New Roman" w:hAnsi="Times New Roman"/>
          <w:sz w:val="28"/>
          <w:szCs w:val="28"/>
          <w:lang w:eastAsia="vi-VN"/>
        </w:rPr>
        <w:t>trên sổ kế toán của cơ quan, đơn vị được giao quản lý tài sản kết cấu hạ tầng chợ hoặc cơ quan, đơn vị khác được giao quản lý tài sản kết cấu hạ tầng chợ thuộc phạm vi một (01) tỉnh, thành phố trực thuộc trung ương có theo dõi thông tin về nguyên giá của tài sản kết cấu hạ tầng chợ khác có cấp, hạng, quy mô công suất tương đương và có thời gian đưa vào sử</w:t>
      </w:r>
      <w:r>
        <w:rPr>
          <w:rFonts w:eastAsia="Times New Roman" w:cs="Times New Roman" w:ascii="Times New Roman" w:hAnsi="Times New Roman"/>
          <w:sz w:val="28"/>
          <w:szCs w:val="28"/>
          <w:lang w:val="en-US" w:eastAsia="vi-VN"/>
        </w:rPr>
        <w:t xml:space="preserve"> dụng</w:t>
      </w:r>
      <w:r>
        <w:rPr>
          <w:rFonts w:eastAsia="Times New Roman" w:cs="Times New Roman" w:ascii="Times New Roman" w:hAnsi="Times New Roman"/>
          <w:sz w:val="28"/>
          <w:szCs w:val="28"/>
          <w:lang w:eastAsia="vi-VN"/>
        </w:rPr>
        <w:t xml:space="preserve"> trong cùng một năm thì sử dụng nguyên giá của tài sản kết cấu hạ tầng chợ tương đương đó để làm nguyên giá tài sản</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64"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val="en-US" w:eastAsia="vi-VN"/>
        </w:rPr>
        <w:t>b3) Trường hợp không có căn cứ để xác định nguyên giá của tài sản kết cấu hạ tầng chợ theo quy định tại điểm b1, điểm b2 khoản này nhưng có căn cứ để xác định thời điểm đưa tài sản vào sử dụng, giá mua mới của tài sản cùng loại hoặc giá xây dựng mới của tài sản có cấp, hạng, quy mô công suất tương đương tại thời điểm đưa vào sử dụng thì nguyên giá tài sản được xác định như sau:</w:t>
      </w:r>
    </w:p>
    <w:tbl>
      <w:tblPr>
        <w:tblW w:w="5000" w:type="pct"/>
        <w:jc w:val="center"/>
        <w:tblInd w:w="0" w:type="dxa"/>
        <w:tblLayout w:type="fixed"/>
        <w:tblCellMar>
          <w:top w:w="0" w:type="dxa"/>
          <w:left w:w="108" w:type="dxa"/>
          <w:bottom w:w="0" w:type="dxa"/>
          <w:right w:w="108" w:type="dxa"/>
        </w:tblCellMar>
      </w:tblPr>
      <w:tblGrid>
        <w:gridCol w:w="3571"/>
        <w:gridCol w:w="460"/>
        <w:gridCol w:w="5039"/>
      </w:tblGrid>
      <w:tr>
        <w:trPr/>
        <w:tc>
          <w:tcPr>
            <w:tcW w:w="3571" w:type="dxa"/>
            <w:tcBorders/>
            <w:vAlign w:val="center"/>
          </w:tcPr>
          <w:p>
            <w:pPr>
              <w:pStyle w:val="Normal"/>
              <w:widowControl w:val="false"/>
              <w:spacing w:lineRule="auto" w:line="240" w:before="120" w:after="120"/>
              <w:jc w:val="center"/>
              <w:rPr>
                <w:rFonts w:ascii="Times New Roman" w:hAnsi="Times New Roman" w:eastAsia="Times New Roman" w:cs="Times New Roman"/>
                <w:sz w:val="26"/>
                <w:szCs w:val="26"/>
                <w:lang w:val="en-US" w:eastAsia="vi-VN"/>
              </w:rPr>
            </w:pPr>
            <w:r>
              <w:rPr>
                <w:rFonts w:eastAsia="Times New Roman" w:cs="Times New Roman" w:ascii="Times New Roman" w:hAnsi="Times New Roman"/>
                <w:sz w:val="26"/>
                <w:szCs w:val="26"/>
                <w:lang w:eastAsia="vi-VN"/>
              </w:rPr>
              <w:t>Nguyên giá tài sản kết cấu hạ tầng chợ</w:t>
            </w:r>
            <w:r>
              <w:rPr>
                <w:rFonts w:eastAsia="Times New Roman" w:cs="Times New Roman" w:ascii="Times New Roman" w:hAnsi="Times New Roman"/>
                <w:sz w:val="26"/>
                <w:szCs w:val="26"/>
                <w:lang w:val="en-US" w:eastAsia="vi-VN"/>
              </w:rPr>
              <w:t xml:space="preserve"> (đồng)</w:t>
            </w:r>
          </w:p>
        </w:tc>
        <w:tc>
          <w:tcPr>
            <w:tcW w:w="460" w:type="dxa"/>
            <w:tcBorders/>
            <w:vAlign w:val="center"/>
          </w:tcPr>
          <w:p>
            <w:pPr>
              <w:pStyle w:val="Normal"/>
              <w:widowControl w:val="false"/>
              <w:spacing w:lineRule="auto" w:line="240" w:before="120" w:after="120"/>
              <w:rPr/>
            </w:pPr>
            <w:r>
              <w:rPr>
                <w:rFonts w:eastAsia="Times New Roman" w:cs="Times New Roman" w:ascii="Times New Roman" w:hAnsi="Times New Roman"/>
                <w:sz w:val="26"/>
                <w:szCs w:val="26"/>
                <w:lang w:eastAsia="vi-VN"/>
              </w:rPr>
              <w:t xml:space="preserve"> </w:t>
            </w:r>
            <w:r>
              <w:rPr>
                <w:rFonts w:eastAsia="Times New Roman" w:cs="Times New Roman" w:ascii="Times New Roman" w:hAnsi="Times New Roman"/>
                <w:sz w:val="26"/>
                <w:szCs w:val="26"/>
                <w:lang w:eastAsia="vi-VN"/>
              </w:rPr>
              <w:t>=</w:t>
            </w:r>
          </w:p>
        </w:tc>
        <w:tc>
          <w:tcPr>
            <w:tcW w:w="5039" w:type="dxa"/>
            <w:tcBorders/>
            <w:vAlign w:val="center"/>
          </w:tcPr>
          <w:p>
            <w:pPr>
              <w:pStyle w:val="Normal"/>
              <w:widowControl w:val="false"/>
              <w:spacing w:lineRule="auto" w:line="240" w:before="120" w:after="120"/>
              <w:jc w:val="center"/>
              <w:rPr>
                <w:rFonts w:ascii="Times New Roman" w:hAnsi="Times New Roman" w:eastAsia="Times New Roman" w:cs="Times New Roman"/>
                <w:sz w:val="26"/>
                <w:szCs w:val="26"/>
                <w:lang w:val="en-US" w:eastAsia="vi-VN"/>
              </w:rPr>
            </w:pPr>
            <w:r>
              <w:rPr>
                <w:rFonts w:eastAsia="Times New Roman" w:cs="Times New Roman" w:ascii="Times New Roman" w:hAnsi="Times New Roman"/>
                <w:sz w:val="26"/>
                <w:szCs w:val="26"/>
                <w:lang w:eastAsia="vi-VN"/>
              </w:rPr>
              <w:t>Giá mua mới của tài sản cùng loại hoặc giá xây dựng mới của tài sản có cấp, hạng, quy mô công suất tương đương tại thời điểm đưa tài sản vào sử dụng</w:t>
            </w:r>
            <w:r>
              <w:rPr>
                <w:rFonts w:eastAsia="Times New Roman" w:cs="Times New Roman" w:ascii="Times New Roman" w:hAnsi="Times New Roman"/>
                <w:sz w:val="26"/>
                <w:szCs w:val="26"/>
                <w:lang w:val="en-US" w:eastAsia="vi-VN"/>
              </w:rPr>
              <w:t xml:space="preserve"> (đồng)</w:t>
            </w:r>
          </w:p>
        </w:tc>
      </w:tr>
    </w:tbl>
    <w:p>
      <w:pPr>
        <w:pStyle w:val="Normal"/>
        <w:widowControl w:val="false"/>
        <w:shd w:fill="FFFFFF" w:val="clear"/>
        <w:spacing w:lineRule="auto" w:line="264"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 xml:space="preserve">Trong đó: </w:t>
      </w:r>
    </w:p>
    <w:p>
      <w:pPr>
        <w:pStyle w:val="Normal"/>
        <w:widowControl w:val="false"/>
        <w:shd w:fill="FFFFFF" w:val="clear"/>
        <w:spacing w:lineRule="auto" w:line="264"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 Giá mua mới của tài sản cùng loại được áp dụng đối với tài sản không phải là nhà, công trình xây dựng, vật kiến trúc là giá của tài sản mới cùng loại được bán trên thị trường tại thời điểm đưa tài sản vào sử dụng</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64"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 Giá xây dựng mới của tài sản có cấp, hạng, quy mô công suất tương đương được áp dụng đối với tài sản là nhà, công trình xây dựng, vật kiến trúc, bao gồm cả nhà, công trình xây dựng, vật kiến trúc được hình thành thông qua mua sắm được xác định như sau:</w:t>
      </w:r>
    </w:p>
    <w:tbl>
      <w:tblPr>
        <w:tblW w:w="5050" w:type="pct"/>
        <w:jc w:val="center"/>
        <w:tblInd w:w="0" w:type="dxa"/>
        <w:tblLayout w:type="fixed"/>
        <w:tblCellMar>
          <w:top w:w="0" w:type="dxa"/>
          <w:left w:w="0" w:type="dxa"/>
          <w:bottom w:w="0" w:type="dxa"/>
          <w:right w:w="0" w:type="dxa"/>
        </w:tblCellMar>
      </w:tblPr>
      <w:tblGrid>
        <w:gridCol w:w="809"/>
        <w:gridCol w:w="249"/>
        <w:gridCol w:w="3129"/>
        <w:gridCol w:w="301"/>
        <w:gridCol w:w="1093"/>
        <w:gridCol w:w="313"/>
        <w:gridCol w:w="3266"/>
      </w:tblGrid>
      <w:tr>
        <w:trPr/>
        <w:tc>
          <w:tcPr>
            <w:tcW w:w="809" w:type="dxa"/>
            <w:tcBorders/>
            <w:vAlign w:val="center"/>
          </w:tcPr>
          <w:p>
            <w:pPr>
              <w:pStyle w:val="Normal"/>
              <w:widowControl w:val="false"/>
              <w:spacing w:lineRule="auto" w:line="240" w:before="120" w:after="120"/>
              <w:jc w:val="center"/>
              <w:rPr>
                <w:rFonts w:ascii="Times New Roman" w:hAnsi="Times New Roman" w:eastAsia="Times New Roman" w:cs="Times New Roman"/>
                <w:sz w:val="25"/>
                <w:szCs w:val="25"/>
                <w:lang w:val="en-US" w:eastAsia="vi-VN"/>
              </w:rPr>
            </w:pPr>
            <w:r>
              <w:rPr>
                <w:rFonts w:eastAsia="Times New Roman" w:cs="Times New Roman" w:ascii="Times New Roman" w:hAnsi="Times New Roman"/>
                <w:sz w:val="25"/>
                <w:szCs w:val="25"/>
                <w:lang w:eastAsia="vi-VN"/>
              </w:rPr>
              <w:t>Giá xây dựng mới của tài sản</w:t>
            </w:r>
            <w:r>
              <w:rPr>
                <w:rFonts w:eastAsia="Times New Roman" w:cs="Times New Roman" w:ascii="Times New Roman" w:hAnsi="Times New Roman"/>
                <w:sz w:val="25"/>
                <w:szCs w:val="25"/>
                <w:lang w:val="en-US" w:eastAsia="vi-VN"/>
              </w:rPr>
              <w:t xml:space="preserve"> (đồng)</w:t>
            </w:r>
          </w:p>
        </w:tc>
        <w:tc>
          <w:tcPr>
            <w:tcW w:w="249" w:type="dxa"/>
            <w:tcBorders/>
            <w:vAlign w:val="center"/>
          </w:tcPr>
          <w:p>
            <w:pPr>
              <w:pStyle w:val="Normal"/>
              <w:widowControl w:val="false"/>
              <w:spacing w:lineRule="auto" w:line="240" w:before="120" w:after="120"/>
              <w:ind w:firstLine="567" w:right="0"/>
              <w:jc w:val="center"/>
              <w:rPr/>
            </w:pPr>
            <w:r>
              <w:rPr>
                <w:rFonts w:eastAsia="Times New Roman" w:cs="Times New Roman" w:ascii="Times New Roman" w:hAnsi="Times New Roman"/>
                <w:sz w:val="25"/>
                <w:szCs w:val="25"/>
                <w:lang w:val="en-US" w:eastAsia="vi-VN"/>
              </w:rPr>
              <w:t>=</w:t>
            </w:r>
            <w:r>
              <w:rPr>
                <w:rFonts w:eastAsia="Times New Roman" w:cs="Times New Roman" w:ascii="Times New Roman" w:hAnsi="Times New Roman"/>
                <w:sz w:val="25"/>
                <w:szCs w:val="25"/>
                <w:lang w:eastAsia="vi-VN"/>
              </w:rPr>
              <w:t>=</w:t>
            </w:r>
          </w:p>
        </w:tc>
        <w:tc>
          <w:tcPr>
            <w:tcW w:w="3129" w:type="dxa"/>
            <w:tcBorders/>
            <w:vAlign w:val="center"/>
          </w:tcPr>
          <w:p>
            <w:pPr>
              <w:pStyle w:val="Normal"/>
              <w:widowControl w:val="false"/>
              <w:spacing w:lineRule="auto" w:line="240" w:before="120" w:after="120"/>
              <w:jc w:val="center"/>
              <w:rPr>
                <w:rFonts w:ascii="Times New Roman" w:hAnsi="Times New Roman" w:eastAsia="Times New Roman" w:cs="Times New Roman"/>
                <w:sz w:val="25"/>
                <w:szCs w:val="25"/>
                <w:lang w:val="en-US" w:eastAsia="vi-VN"/>
              </w:rPr>
            </w:pPr>
            <w:r>
              <w:rPr>
                <w:rFonts w:eastAsia="Times New Roman" w:cs="Times New Roman" w:ascii="Times New Roman" w:hAnsi="Times New Roman"/>
                <w:sz w:val="25"/>
                <w:szCs w:val="25"/>
                <w:lang w:eastAsia="vi-VN"/>
              </w:rPr>
              <w:t xml:space="preserve">Đơn giá xây dựng mới của tài </w:t>
            </w:r>
            <w:r>
              <w:rPr>
                <w:rFonts w:eastAsia="Times New Roman" w:cs="Times New Roman" w:ascii="Times New Roman" w:hAnsi="Times New Roman"/>
                <w:sz w:val="26"/>
                <w:szCs w:val="26"/>
                <w:lang w:eastAsia="vi-VN"/>
              </w:rPr>
              <w:t xml:space="preserve">sản </w:t>
            </w:r>
            <w:r>
              <w:rPr>
                <w:rFonts w:eastAsia="Times New Roman" w:cs="Times New Roman" w:ascii="Times New Roman" w:hAnsi="Times New Roman"/>
                <w:sz w:val="25"/>
                <w:szCs w:val="25"/>
                <w:lang w:eastAsia="vi-VN"/>
              </w:rPr>
              <w:t>có cấp, hạng, quy mô công suất tương đương do UBND cấp tỉnh ban hành áp dụng tại thời điểm đưa tài sản vào sử dụng</w:t>
            </w:r>
            <w:r>
              <w:rPr>
                <w:rFonts w:eastAsia="Times New Roman" w:cs="Times New Roman" w:ascii="Times New Roman" w:hAnsi="Times New Roman"/>
                <w:sz w:val="25"/>
                <w:szCs w:val="25"/>
                <w:lang w:val="en-US" w:eastAsia="vi-VN"/>
              </w:rPr>
              <w:t xml:space="preserve"> (đồng)</w:t>
            </w:r>
          </w:p>
        </w:tc>
        <w:tc>
          <w:tcPr>
            <w:tcW w:w="301" w:type="dxa"/>
            <w:tcBorders/>
            <w:vAlign w:val="center"/>
          </w:tcPr>
          <w:p>
            <w:pPr>
              <w:pStyle w:val="Normal"/>
              <w:widowControl w:val="false"/>
              <w:spacing w:lineRule="auto" w:line="240" w:before="120" w:after="120"/>
              <w:ind w:firstLine="567" w:right="0"/>
              <w:jc w:val="center"/>
              <w:rPr/>
            </w:pPr>
            <w:r>
              <w:rPr>
                <w:rFonts w:eastAsia="Times New Roman" w:cs="Times New Roman" w:ascii="Times New Roman" w:hAnsi="Times New Roman"/>
                <w:sz w:val="25"/>
                <w:szCs w:val="25"/>
                <w:lang w:val="en-US" w:eastAsia="vi-VN"/>
              </w:rPr>
              <w:t>X</w:t>
            </w:r>
            <w:r>
              <w:rPr>
                <w:rFonts w:eastAsia="Times New Roman" w:cs="Times New Roman" w:ascii="Times New Roman" w:hAnsi="Times New Roman"/>
                <w:sz w:val="25"/>
                <w:szCs w:val="25"/>
                <w:lang w:eastAsia="vi-VN"/>
              </w:rPr>
              <w:t xml:space="preserve"> x</w:t>
            </w:r>
          </w:p>
        </w:tc>
        <w:tc>
          <w:tcPr>
            <w:tcW w:w="1093" w:type="dxa"/>
            <w:tcBorders/>
            <w:vAlign w:val="center"/>
          </w:tcPr>
          <w:p>
            <w:pPr>
              <w:pStyle w:val="Normal"/>
              <w:widowControl w:val="false"/>
              <w:spacing w:lineRule="auto" w:line="240" w:before="120" w:after="120"/>
              <w:jc w:val="center"/>
              <w:rPr/>
            </w:pPr>
            <w:r>
              <w:rPr>
                <w:rFonts w:eastAsia="Times New Roman" w:cs="Times New Roman" w:ascii="Times New Roman" w:hAnsi="Times New Roman"/>
                <w:sz w:val="25"/>
                <w:szCs w:val="25"/>
                <w:lang w:eastAsia="vi-VN"/>
              </w:rPr>
              <w:t>Diện tích xây dựng</w:t>
            </w:r>
            <w:r>
              <w:rPr>
                <w:rFonts w:eastAsia="Times New Roman" w:cs="Times New Roman" w:ascii="Times New Roman" w:hAnsi="Times New Roman"/>
                <w:sz w:val="25"/>
                <w:szCs w:val="25"/>
                <w:lang w:val="en-US" w:eastAsia="vi-VN"/>
              </w:rPr>
              <w:t xml:space="preserve"> (m</w:t>
            </w:r>
            <w:r>
              <w:rPr>
                <w:rFonts w:eastAsia="Times New Roman" w:cs="Times New Roman" w:ascii="Times New Roman" w:hAnsi="Times New Roman"/>
                <w:sz w:val="25"/>
                <w:szCs w:val="25"/>
                <w:vertAlign w:val="superscript"/>
                <w:lang w:val="en-US" w:eastAsia="vi-VN"/>
              </w:rPr>
              <w:t>2</w:t>
            </w:r>
            <w:r>
              <w:rPr>
                <w:rFonts w:eastAsia="Times New Roman" w:cs="Times New Roman" w:ascii="Times New Roman" w:hAnsi="Times New Roman"/>
                <w:sz w:val="25"/>
                <w:szCs w:val="25"/>
                <w:lang w:val="en-US" w:eastAsia="vi-VN"/>
              </w:rPr>
              <w:t>)</w:t>
            </w:r>
            <w:r>
              <w:rPr>
                <w:rFonts w:eastAsia="Times New Roman" w:cs="Times New Roman" w:ascii="Times New Roman" w:hAnsi="Times New Roman"/>
                <w:sz w:val="25"/>
                <w:szCs w:val="25"/>
                <w:lang w:eastAsia="vi-VN"/>
              </w:rPr>
              <w:t>/Số lượng... của tài sản</w:t>
            </w:r>
          </w:p>
        </w:tc>
        <w:tc>
          <w:tcPr>
            <w:tcW w:w="313" w:type="dxa"/>
            <w:tcBorders/>
            <w:vAlign w:val="center"/>
          </w:tcPr>
          <w:p>
            <w:pPr>
              <w:pStyle w:val="Normal"/>
              <w:widowControl w:val="false"/>
              <w:spacing w:lineRule="auto" w:line="240" w:before="120" w:after="120"/>
              <w:ind w:firstLine="567" w:right="0"/>
              <w:jc w:val="center"/>
              <w:rPr>
                <w:rFonts w:ascii="Times New Roman" w:hAnsi="Times New Roman" w:eastAsia="Times New Roman" w:cs="Times New Roman"/>
                <w:sz w:val="25"/>
                <w:szCs w:val="25"/>
                <w:lang w:eastAsia="vi-VN"/>
              </w:rPr>
            </w:pPr>
            <w:r>
              <w:rPr>
                <w:rFonts w:eastAsia="Times New Roman" w:cs="Times New Roman" w:ascii="Times New Roman" w:hAnsi="Times New Roman"/>
                <w:sz w:val="25"/>
                <w:szCs w:val="25"/>
                <w:lang w:val="en-US" w:eastAsia="vi-VN"/>
              </w:rPr>
              <w:t>++</w:t>
            </w:r>
          </w:p>
        </w:tc>
        <w:tc>
          <w:tcPr>
            <w:tcW w:w="3266" w:type="dxa"/>
            <w:tcBorders/>
            <w:vAlign w:val="center"/>
          </w:tcPr>
          <w:p>
            <w:pPr>
              <w:pStyle w:val="Normal"/>
              <w:widowControl w:val="false"/>
              <w:spacing w:lineRule="auto" w:line="240" w:before="120" w:after="120"/>
              <w:jc w:val="center"/>
              <w:rPr>
                <w:rFonts w:ascii="Times New Roman" w:hAnsi="Times New Roman" w:eastAsia="Times New Roman" w:cs="Times New Roman"/>
                <w:sz w:val="25"/>
                <w:szCs w:val="25"/>
                <w:lang w:val="en-US" w:eastAsia="vi-VN"/>
              </w:rPr>
            </w:pPr>
            <w:r>
              <w:rPr>
                <w:rFonts w:eastAsia="Times New Roman" w:cs="Times New Roman" w:ascii="Times New Roman" w:hAnsi="Times New Roman"/>
                <w:sz w:val="25"/>
                <w:szCs w:val="25"/>
                <w:lang w:eastAsia="vi-VN"/>
              </w:rPr>
              <w:t>Giá trị của các kết cấu khác gắn với công trình/hạng mục công trình (như: trần, sàn...) xác định theo quy định của Bộ quản lý chuyên ngành (hoặc theo quy định cụ thể của địa phương nơi có tài sản) tại thời điểm đưa tài sản vào sử dụng</w:t>
            </w:r>
            <w:r>
              <w:rPr>
                <w:rFonts w:eastAsia="Times New Roman" w:cs="Times New Roman" w:ascii="Times New Roman" w:hAnsi="Times New Roman"/>
                <w:sz w:val="25"/>
                <w:szCs w:val="25"/>
                <w:lang w:val="en-US" w:eastAsia="vi-VN"/>
              </w:rPr>
              <w:t xml:space="preserve"> (đồng)</w:t>
            </w:r>
          </w:p>
        </w:tc>
      </w:tr>
    </w:tbl>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iCs/>
          <w:sz w:val="28"/>
          <w:szCs w:val="28"/>
          <w:lang w:eastAsia="vi-VN"/>
        </w:rPr>
        <w:t>b4) Trường hợp không có căn cứ để xác định nguyên giá</w:t>
      </w:r>
      <w:r>
        <w:rPr>
          <w:rFonts w:eastAsia="Times New Roman" w:cs="Times New Roman" w:ascii="Times New Roman" w:hAnsi="Times New Roman"/>
          <w:iCs/>
          <w:sz w:val="28"/>
          <w:szCs w:val="28"/>
          <w:lang w:val="en-US" w:eastAsia="vi-VN"/>
        </w:rPr>
        <w:t xml:space="preserve"> của</w:t>
      </w:r>
      <w:r>
        <w:rPr>
          <w:rFonts w:eastAsia="Times New Roman" w:cs="Times New Roman" w:ascii="Times New Roman" w:hAnsi="Times New Roman"/>
          <w:iCs/>
          <w:sz w:val="28"/>
          <w:szCs w:val="28"/>
          <w:lang w:eastAsia="vi-VN"/>
        </w:rPr>
        <w:t xml:space="preserve"> tài sản kết cấu hạ tầng chợ theo quy định tại các điểm b1, b2 và b3 khoản này thì cơ quan, đơn vị được giao quản lý tài sản kết cấu hạ tầng chợ xác định nguyên giá của tài sản kết cấu hạ tầng chợ theo quy định tại Điều 7 Thông tư này</w:t>
      </w:r>
      <w:r>
        <w:rPr>
          <w:rFonts w:eastAsia="Times New Roman" w:cs="Times New Roman" w:ascii="Times New Roman" w:hAnsi="Times New Roman"/>
          <w:sz w:val="28"/>
          <w:szCs w:val="28"/>
          <w:lang w:eastAsia="vi-VN"/>
        </w:rPr>
        <w:t xml:space="preserve">. </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 xml:space="preserve">2. Nguyên giá của tài sản kết cấu hạ tầng chợ hình thành từ mua sắm đưa vào sử dụng kể từ ngày 01 tháng 8 năm 2024 được xác định như sau: </w:t>
      </w:r>
    </w:p>
    <w:tbl>
      <w:tblPr>
        <w:tblW w:w="9198" w:type="dxa"/>
        <w:jc w:val="left"/>
        <w:tblInd w:w="0" w:type="dxa"/>
        <w:tblLayout w:type="fixed"/>
        <w:tblCellMar>
          <w:top w:w="0" w:type="dxa"/>
          <w:left w:w="108" w:type="dxa"/>
          <w:bottom w:w="0" w:type="dxa"/>
          <w:right w:w="108" w:type="dxa"/>
        </w:tblCellMar>
      </w:tblPr>
      <w:tblGrid>
        <w:gridCol w:w="1101"/>
        <w:gridCol w:w="377"/>
        <w:gridCol w:w="1150"/>
        <w:gridCol w:w="236"/>
        <w:gridCol w:w="1497"/>
        <w:gridCol w:w="236"/>
        <w:gridCol w:w="1465"/>
        <w:gridCol w:w="236"/>
        <w:gridCol w:w="1722"/>
        <w:gridCol w:w="283"/>
        <w:gridCol w:w="895"/>
      </w:tblGrid>
      <w:tr>
        <w:trPr>
          <w:trHeight w:val="2502" w:hRule="atLeast"/>
        </w:trPr>
        <w:tc>
          <w:tcPr>
            <w:tcW w:w="1101" w:type="dxa"/>
            <w:tcBorders/>
            <w:vAlign w:val="center"/>
          </w:tcPr>
          <w:p>
            <w:pPr>
              <w:pStyle w:val="Normal"/>
              <w:widowControl w:val="false"/>
              <w:spacing w:lineRule="auto" w:line="240" w:before="120" w:after="120"/>
              <w:jc w:val="center"/>
              <w:rPr>
                <w:rFonts w:ascii="Times New Roman" w:hAnsi="Times New Roman" w:cs="Times New Roman"/>
                <w:lang w:val="en-US"/>
              </w:rPr>
            </w:pPr>
            <w:r>
              <w:rPr>
                <w:rFonts w:cs="Times New Roman" w:ascii="Times New Roman" w:hAnsi="Times New Roman"/>
              </w:rPr>
              <w:t>Nguyên giá tài sản kết cấu hạ tầng chợ do mua sắm</w:t>
            </w:r>
            <w:r>
              <w:rPr>
                <w:rFonts w:cs="Times New Roman" w:ascii="Times New Roman" w:hAnsi="Times New Roman"/>
                <w:lang w:val="en-US"/>
              </w:rPr>
              <w:t xml:space="preserve"> (đồng)</w:t>
            </w:r>
          </w:p>
        </w:tc>
        <w:tc>
          <w:tcPr>
            <w:tcW w:w="377" w:type="dxa"/>
            <w:tcBorders/>
            <w:vAlign w:val="center"/>
          </w:tcPr>
          <w:p>
            <w:pPr>
              <w:pStyle w:val="Normal"/>
              <w:widowControl w:val="false"/>
              <w:spacing w:lineRule="auto" w:line="240" w:before="120" w:after="120"/>
              <w:rPr>
                <w:rFonts w:ascii="Times New Roman" w:hAnsi="Times New Roman" w:cs="Times New Roman"/>
              </w:rPr>
            </w:pPr>
            <w:r>
              <w:rPr>
                <w:rFonts w:cs="Times New Roman" w:ascii="Times New Roman" w:hAnsi="Times New Roman"/>
              </w:rPr>
              <w:t>=</w:t>
            </w:r>
          </w:p>
        </w:tc>
        <w:tc>
          <w:tcPr>
            <w:tcW w:w="1150" w:type="dxa"/>
            <w:tcBorders/>
            <w:vAlign w:val="center"/>
          </w:tcPr>
          <w:p>
            <w:pPr>
              <w:pStyle w:val="Normal"/>
              <w:widowControl w:val="false"/>
              <w:snapToGrid w:val="false"/>
              <w:spacing w:lineRule="auto" w:line="240" w:before="120" w:after="120"/>
              <w:jc w:val="center"/>
              <w:rPr>
                <w:rFonts w:ascii="Times New Roman" w:hAnsi="Times New Roman" w:cs="Times New Roman"/>
                <w:lang w:val="en-US" w:eastAsia="en-US"/>
              </w:rPr>
            </w:pPr>
            <w:r>
              <w:rPr>
                <w:rFonts w:cs="Times New Roman" w:ascii="Times New Roman" w:hAnsi="Times New Roman"/>
                <w:lang w:val="en-US" w:eastAsia="en-US"/>
              </w:rPr>
              <mc:AlternateContent>
                <mc:Choice Requires="wps">
                  <w:drawing>
                    <wp:anchor behindDoc="0" distT="0" distB="0" distL="114935" distR="114935" simplePos="0" locked="0" layoutInCell="1" allowOverlap="1" relativeHeight="5">
                      <wp:simplePos x="0" y="0"/>
                      <wp:positionH relativeFrom="column">
                        <wp:posOffset>-59690</wp:posOffset>
                      </wp:positionH>
                      <wp:positionV relativeFrom="paragraph">
                        <wp:posOffset>160655</wp:posOffset>
                      </wp:positionV>
                      <wp:extent cx="1816100" cy="1387475"/>
                      <wp:effectExtent l="5080" t="5715" r="5715" b="5080"/>
                      <wp:wrapNone/>
                      <wp:docPr id="5" name=""/>
                      <a:graphic xmlns:a="http://schemas.openxmlformats.org/drawingml/2006/main">
                        <a:graphicData uri="http://schemas.microsoft.com/office/word/2010/wordprocessingShape">
                          <wps:wsp>
                            <wps:cNvSpPr/>
                            <wps:spPr>
                              <a:xfrm>
                                <a:off x="0" y="0"/>
                                <a:ext cx="1816200" cy="1387440"/>
                              </a:xfrm>
                              <a:prstGeom prst="bracketPair">
                                <a:avLst>
                                  <a:gd name="adj" fmla="val 5925"/>
                                </a:avLst>
                              </a:prstGeom>
                              <a:noFill/>
                              <a:ln w="9360">
                                <a:solidFill>
                                  <a:srgbClr val="000000"/>
                                </a:solidFill>
                                <a:miter/>
                              </a:ln>
                            </wps:spPr>
                            <wps:style>
                              <a:lnRef idx="0"/>
                              <a:fillRef idx="0"/>
                              <a:effectRef idx="0"/>
                              <a:fontRef idx="minor"/>
                            </wps:style>
                            <wps:bodyPr/>
                          </wps:wsp>
                        </a:graphicData>
                      </a:graphic>
                    </wp:anchor>
                  </w:drawing>
                </mc:Choice>
                <mc:Fallback>
                  <w:pict>
                    <v:shapetype id="_x0000_t185" coordsize="21600,21600" o:spt="185" adj="3600" path="m0@0qy@6@7l@1,qx@8@6l21600@2qy@9@10l@0,21600qx@7@9xnsem@0,21600qx@7@9l0@0qy@6@7m@1,qx@8@6l21600@2qy@9@10nfe">
                      <v:stroke joinstyle="miter"/>
                      <v:formulas>
                        <v:f eqn="val #0"/>
                        <v:f eqn="sum width 0 @0"/>
                        <v:f eqn="sum height 0 @0"/>
                        <v:f eqn="prod @0 2929 10000"/>
                        <v:f eqn="sum width 0 @3"/>
                        <v:f eqn="sum height 0 @3"/>
                        <v:f eqn="sum @0 0 0"/>
                        <v:f eqn="sum 0 @0 @0"/>
                        <v:f eqn="sum @0 @1 0"/>
                        <v:f eqn="sum 0 21600 @0"/>
                        <v:f eqn="sum @0 @2 0"/>
                      </v:formulas>
                      <v:path gradientshapeok="t" o:connecttype="rect" textboxrect="@3,@3,@4,@5"/>
                      <v:handles>
                        <v:h position="0,@0"/>
                      </v:handles>
                    </v:shapetype>
                    <v:shape id="shape_0" stroked="t" o:allowincell="t" style="position:absolute;margin-left:-4.7pt;margin-top:12.65pt;width:142.95pt;height:109.2pt;mso-wrap-style:none;v-text-anchor:middle" type="_x0000_t185">
                      <v:fill o:detectmouseclick="t" on="false"/>
                      <v:stroke color="black" weight="9360" joinstyle="miter" endcap="flat"/>
                      <w10:wrap type="none"/>
                    </v:shape>
                  </w:pict>
                </mc:Fallback>
              </mc:AlternateContent>
            </w:r>
          </w:p>
          <w:p>
            <w:pPr>
              <w:pStyle w:val="Normal"/>
              <w:widowControl w:val="false"/>
              <w:spacing w:lineRule="auto" w:line="240" w:before="120" w:after="120"/>
              <w:jc w:val="center"/>
              <w:rPr>
                <w:rFonts w:ascii="Times New Roman" w:hAnsi="Times New Roman" w:cs="Times New Roman"/>
              </w:rPr>
            </w:pPr>
            <w:r>
              <w:rPr>
                <w:rFonts w:cs="Times New Roman" w:ascii="Times New Roman" w:hAnsi="Times New Roman"/>
              </w:rPr>
            </w:r>
          </w:p>
          <w:p>
            <w:pPr>
              <w:pStyle w:val="Normal"/>
              <w:widowControl w:val="false"/>
              <w:spacing w:lineRule="auto" w:line="240" w:before="120" w:after="120"/>
              <w:jc w:val="center"/>
              <w:rPr>
                <w:rFonts w:ascii="Times New Roman" w:hAnsi="Times New Roman" w:cs="Times New Roman"/>
                <w:lang w:val="en-US"/>
              </w:rPr>
            </w:pPr>
            <w:r>
              <w:rPr>
                <w:rFonts w:cs="Times New Roman" w:ascii="Times New Roman" w:hAnsi="Times New Roman"/>
              </w:rPr>
              <w:t>Giá trị ghi trên hóa đơn</w:t>
            </w:r>
            <w:r>
              <w:rPr>
                <w:rFonts w:cs="Times New Roman" w:ascii="Times New Roman" w:hAnsi="Times New Roman"/>
                <w:lang w:val="en-US"/>
              </w:rPr>
              <w:t xml:space="preserve"> (đồng)</w:t>
            </w:r>
          </w:p>
        </w:tc>
        <w:tc>
          <w:tcPr>
            <w:tcW w:w="236" w:type="dxa"/>
            <w:tcBorders/>
            <w:vAlign w:val="center"/>
          </w:tcPr>
          <w:p>
            <w:pPr>
              <w:pStyle w:val="Normal"/>
              <w:widowControl w:val="false"/>
              <w:spacing w:lineRule="auto" w:line="240" w:before="120" w:after="120"/>
              <w:jc w:val="center"/>
              <w:rPr>
                <w:rFonts w:ascii="Times New Roman" w:hAnsi="Times New Roman" w:cs="Times New Roman"/>
              </w:rPr>
            </w:pPr>
            <w:r>
              <w:rPr>
                <w:rFonts w:cs="Times New Roman" w:ascii="Times New Roman" w:hAnsi="Times New Roman"/>
              </w:rPr>
              <w:t>-</w:t>
            </w:r>
          </w:p>
        </w:tc>
        <w:tc>
          <w:tcPr>
            <w:tcW w:w="1497" w:type="dxa"/>
            <w:tcBorders/>
            <w:vAlign w:val="center"/>
          </w:tcPr>
          <w:p>
            <w:pPr>
              <w:pStyle w:val="Normal"/>
              <w:widowControl w:val="false"/>
              <w:spacing w:lineRule="auto" w:line="240" w:before="120" w:after="120"/>
              <w:jc w:val="center"/>
              <w:rPr>
                <w:rFonts w:ascii="Times New Roman" w:hAnsi="Times New Roman" w:cs="Times New Roman"/>
                <w:lang w:val="en-US"/>
              </w:rPr>
            </w:pPr>
            <w:r>
              <w:rPr>
                <w:rFonts w:cs="Times New Roman" w:ascii="Times New Roman" w:hAnsi="Times New Roman"/>
              </w:rPr>
              <w:t>Các khoản chiết khấu thương mại hoặc giảm giá hoặc phạt người bán (nếu có)</w:t>
            </w:r>
            <w:r>
              <w:rPr>
                <w:rFonts w:cs="Times New Roman" w:ascii="Times New Roman" w:hAnsi="Times New Roman"/>
                <w:lang w:val="en-US"/>
              </w:rPr>
              <w:t xml:space="preserve"> (đồng)</w:t>
            </w:r>
          </w:p>
        </w:tc>
        <w:tc>
          <w:tcPr>
            <w:tcW w:w="236" w:type="dxa"/>
            <w:tcBorders/>
            <w:vAlign w:val="center"/>
          </w:tcPr>
          <w:p>
            <w:pPr>
              <w:pStyle w:val="Normal"/>
              <w:widowControl w:val="false"/>
              <w:spacing w:lineRule="auto" w:line="240" w:before="120" w:after="120"/>
              <w:jc w:val="center"/>
              <w:rPr>
                <w:rFonts w:ascii="Times New Roman" w:hAnsi="Times New Roman" w:cs="Times New Roman"/>
              </w:rPr>
            </w:pPr>
            <w:r>
              <w:rPr>
                <w:rFonts w:cs="Times New Roman" w:ascii="Times New Roman" w:hAnsi="Times New Roman"/>
              </w:rPr>
              <w:t>+</w:t>
            </w:r>
          </w:p>
        </w:tc>
        <w:tc>
          <w:tcPr>
            <w:tcW w:w="1465" w:type="dxa"/>
            <w:tcBorders/>
            <w:vAlign w:val="center"/>
          </w:tcPr>
          <w:p>
            <w:pPr>
              <w:pStyle w:val="Normal"/>
              <w:widowControl w:val="false"/>
              <w:spacing w:lineRule="auto" w:line="240" w:before="120" w:after="120"/>
              <w:jc w:val="center"/>
              <w:rPr>
                <w:rFonts w:ascii="Times New Roman" w:hAnsi="Times New Roman" w:cs="Times New Roman"/>
                <w:lang w:val="en-US"/>
              </w:rPr>
            </w:pPr>
            <w:r>
              <w:rPr>
                <w:rFonts w:cs="Times New Roman" w:ascii="Times New Roman" w:hAnsi="Times New Roman"/>
              </w:rPr>
              <w:t>Chi phí vận chuyển, bốc dỡ, chi phí sửa chữa, cải tạo, nâng cấp, chi phí lắp đặt, chạy thử</w:t>
            </w:r>
            <w:r>
              <w:rPr>
                <w:rFonts w:cs="Times New Roman" w:ascii="Times New Roman" w:hAnsi="Times New Roman"/>
                <w:lang w:val="en-US"/>
              </w:rPr>
              <w:t xml:space="preserve"> (đồng)</w:t>
            </w:r>
          </w:p>
        </w:tc>
        <w:tc>
          <w:tcPr>
            <w:tcW w:w="236" w:type="dxa"/>
            <w:tcBorders/>
            <w:vAlign w:val="center"/>
          </w:tcPr>
          <w:p>
            <w:pPr>
              <w:pStyle w:val="Normal"/>
              <w:widowControl w:val="false"/>
              <w:spacing w:lineRule="auto" w:line="240" w:before="120" w:after="120"/>
              <w:jc w:val="center"/>
              <w:rPr>
                <w:rFonts w:ascii="Times New Roman" w:hAnsi="Times New Roman" w:cs="Times New Roman"/>
              </w:rPr>
            </w:pPr>
            <w:r>
              <w:rPr>
                <w:rFonts w:cs="Times New Roman" w:ascii="Times New Roman" w:hAnsi="Times New Roman"/>
              </w:rPr>
              <w:t>+</w:t>
            </w:r>
          </w:p>
        </w:tc>
        <w:tc>
          <w:tcPr>
            <w:tcW w:w="1722" w:type="dxa"/>
            <w:tcBorders/>
            <w:vAlign w:val="center"/>
          </w:tcPr>
          <w:p>
            <w:pPr>
              <w:pStyle w:val="Normal"/>
              <w:widowControl w:val="false"/>
              <w:spacing w:lineRule="auto" w:line="240" w:before="120" w:after="120"/>
              <w:jc w:val="center"/>
              <w:rPr>
                <w:rFonts w:ascii="Times New Roman" w:hAnsi="Times New Roman" w:cs="Times New Roman"/>
                <w:lang w:val="en-US"/>
              </w:rPr>
            </w:pPr>
            <w:r>
              <w:rPr>
                <w:rFonts w:cs="Times New Roman" w:ascii="Times New Roman" w:hAnsi="Times New Roman"/>
              </w:rPr>
              <w:t>Các khoản thuế (không bao gồm các khoản thuế được khấu trừ, hoàn lại)</w:t>
            </w:r>
            <w:r>
              <w:rPr>
                <w:rFonts w:cs="Times New Roman" w:ascii="Times New Roman" w:hAnsi="Times New Roman"/>
                <w:lang w:val="en-US"/>
              </w:rPr>
              <w:t xml:space="preserve"> và </w:t>
            </w:r>
            <w:r>
              <w:rPr>
                <w:rFonts w:cs="Times New Roman" w:ascii="Times New Roman" w:hAnsi="Times New Roman"/>
              </w:rPr>
              <w:t>các khoản phí, lệ phí theo quy định của pháp luật về phí và lệ phí</w:t>
            </w:r>
            <w:r>
              <w:rPr>
                <w:rFonts w:cs="Times New Roman" w:ascii="Times New Roman" w:hAnsi="Times New Roman"/>
                <w:lang w:val="en-US"/>
              </w:rPr>
              <w:t xml:space="preserve"> (đồng)</w:t>
            </w:r>
          </w:p>
        </w:tc>
        <w:tc>
          <w:tcPr>
            <w:tcW w:w="283" w:type="dxa"/>
            <w:tcBorders/>
            <w:vAlign w:val="center"/>
          </w:tcPr>
          <w:p>
            <w:pPr>
              <w:pStyle w:val="Normal"/>
              <w:widowControl w:val="false"/>
              <w:spacing w:lineRule="auto" w:line="240" w:before="120" w:after="120"/>
              <w:jc w:val="center"/>
              <w:rPr>
                <w:rFonts w:ascii="Times New Roman" w:hAnsi="Times New Roman" w:cs="Times New Roman"/>
              </w:rPr>
            </w:pPr>
            <w:r>
              <w:rPr>
                <w:rFonts w:cs="Times New Roman" w:ascii="Times New Roman" w:hAnsi="Times New Roman"/>
              </w:rPr>
              <w:t>+</w:t>
            </w:r>
          </w:p>
        </w:tc>
        <w:tc>
          <w:tcPr>
            <w:tcW w:w="895" w:type="dxa"/>
            <w:tcBorders/>
            <w:vAlign w:val="center"/>
          </w:tcPr>
          <w:p>
            <w:pPr>
              <w:pStyle w:val="Normal"/>
              <w:widowControl w:val="false"/>
              <w:spacing w:lineRule="auto" w:line="240" w:before="120" w:after="120"/>
              <w:jc w:val="center"/>
              <w:rPr>
                <w:rFonts w:ascii="Times New Roman" w:hAnsi="Times New Roman" w:cs="Times New Roman"/>
                <w:lang w:val="en-US"/>
              </w:rPr>
            </w:pPr>
            <w:r>
              <w:rPr>
                <w:rFonts w:cs="Times New Roman" w:ascii="Times New Roman" w:hAnsi="Times New Roman"/>
              </w:rPr>
              <w:t>Chi phí khác (nếu có)</w:t>
            </w:r>
            <w:r>
              <w:rPr>
                <w:rFonts w:cs="Times New Roman" w:ascii="Times New Roman" w:hAnsi="Times New Roman"/>
                <w:lang w:val="en-US"/>
              </w:rPr>
              <w:t xml:space="preserve"> (đồng)</w:t>
            </w:r>
          </w:p>
        </w:tc>
      </w:tr>
    </w:tbl>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Trong đó:</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 Các khoản chiết khấu thương mại hoặc giảm giá hoặc phạt người bán (nếu có) được trừ vào giá trị ghi trên hóa đơn chỉ được áp dụng trong trường hợp giá trị ghi trên hóa đơn bao gồm cả các khoản chiết khấu thương mại hoặc giảm giá hoặc phạt người bán</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 Chi phí khác (nếu có) là các chi phí hợp lý liên quan trực tiếp đến việc mua sắm tài sản kết cấu hạ tầng chợ mà cơ quan, đơn vị đã chi ra tính đến thời điểm đưa tài sản vào sử dụng. Trường hợp phát sinh chi phí chung cho nhiều tài sản thì thực hiện phân bổ chi phí cho từng tài sản theo tiêu chí cho phù hợp (như: diện tích xây dựng, số lượng, giá trị ghi trên hóa đơn của tài sản kết cấu hạ tầng chợ phát sinh chi phí chung...).</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3. Nguyên giá của tài sản kết cấu hạ tầng chợ hình thành từ đầu tư xây dựng được nghiệm thu, bàn giao đưa tài sản vào sử dụng kể từ ngày 01 tháng 8 năm 2024 là giá trị quyết toán được cơ quan, người có thẩm quyền phê duyệt theo quy định của pháp luật. Một số trường hợp đặc biệt được thực hiện như sau:</w:t>
      </w:r>
    </w:p>
    <w:p>
      <w:pPr>
        <w:pStyle w:val="Normal"/>
        <w:widowControl w:val="false"/>
        <w:shd w:fill="FFFFFF" w:val="clear"/>
        <w:spacing w:lineRule="auto" w:line="240" w:before="80" w:after="80"/>
        <w:ind w:firstLine="567" w:right="0"/>
        <w:jc w:val="both"/>
        <w:rPr/>
      </w:pPr>
      <w:r>
        <w:rPr>
          <w:rFonts w:eastAsia="Times New Roman" w:cs="Times New Roman" w:ascii="Times New Roman" w:hAnsi="Times New Roman"/>
          <w:sz w:val="28"/>
          <w:szCs w:val="28"/>
          <w:lang w:eastAsia="vi-VN"/>
        </w:rPr>
        <w:t>a) Trường hợp tài sản kết cấu hạ tầng chợ đã hoàn thành việc đầu tư xây dựng, đưa vào sử dụng nhưng chưa có quyết toán được cơ quan, người có thẩm quyền phê duyệt thì cơ quan, đơn vị được giao quản lý tài sản kết cấu hạ tầng chợ thực hiện ghi sổ kế toán tài sản kể từ ngày bàn giao đưa tài sản vào sử dụng. Nguyên giá ghi sổ kế toán là nguyên giá tạm tính. Nguyên giá tạm tính trong trường hợp này được lựa chọn theo thứ tự ưu tiên sau:</w:t>
      </w:r>
    </w:p>
    <w:p>
      <w:pPr>
        <w:pStyle w:val="Normal"/>
        <w:widowControl w:val="false"/>
        <w:shd w:fill="FFFFFF" w:val="clear"/>
        <w:spacing w:lineRule="auto" w:line="240" w:before="80" w:after="8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Giá trị thẩm tra quyết toán</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80" w:after="8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Giá trị đề nghị phê duyệt quyết toán</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80" w:after="80"/>
        <w:ind w:firstLine="567" w:right="0"/>
        <w:jc w:val="both"/>
        <w:rPr>
          <w:rFonts w:ascii="Times New Roman" w:hAnsi="Times New Roman" w:cs="Times New Roman"/>
          <w:sz w:val="28"/>
          <w:szCs w:val="28"/>
          <w:lang w:val="en-US"/>
        </w:rPr>
      </w:pPr>
      <w:r>
        <w:rPr>
          <w:rFonts w:cs="Times New Roman" w:ascii="Times New Roman" w:hAnsi="Times New Roman"/>
          <w:sz w:val="28"/>
          <w:szCs w:val="28"/>
        </w:rPr>
        <w:t>Bảng tính giá trị quyết toán hợp đồng giữa chủ đầu tư và nhà thầu (quyết toán A-B)</w:t>
      </w:r>
      <w:r>
        <w:rPr>
          <w:rFonts w:cs="Times New Roman" w:ascii="Times New Roman" w:hAnsi="Times New Roman"/>
          <w:sz w:val="28"/>
          <w:szCs w:val="28"/>
          <w:lang w:val="en-US"/>
        </w:rPr>
        <w:t>;</w:t>
      </w:r>
    </w:p>
    <w:p>
      <w:pPr>
        <w:pStyle w:val="Normal"/>
        <w:widowControl w:val="false"/>
        <w:shd w:fill="FFFFFF" w:val="clear"/>
        <w:spacing w:lineRule="auto" w:line="240" w:before="80" w:after="80"/>
        <w:ind w:firstLine="567" w:right="0"/>
        <w:jc w:val="both"/>
        <w:rPr>
          <w:rFonts w:ascii="Times New Roman" w:hAnsi="Times New Roman" w:eastAsia="Times New Roman" w:cs="Times New Roman"/>
          <w:sz w:val="28"/>
          <w:szCs w:val="28"/>
          <w:lang w:val="en-US" w:eastAsia="vi-VN"/>
        </w:rPr>
      </w:pPr>
      <w:r>
        <w:rPr>
          <w:rFonts w:cs="Times New Roman" w:ascii="Times New Roman" w:hAnsi="Times New Roman"/>
          <w:sz w:val="28"/>
          <w:szCs w:val="28"/>
        </w:rPr>
        <w:t>Giá trị dự toán được phê duyệt hoặc điều chỉnh lần gần nhất</w:t>
      </w:r>
      <w:r>
        <w:rPr>
          <w:rFonts w:eastAsia="Times New Roman" w:cs="Times New Roman" w:ascii="Times New Roman" w:hAnsi="Times New Roman"/>
          <w:sz w:val="28"/>
          <w:szCs w:val="28"/>
          <w:lang w:eastAsia="vi-VN"/>
        </w:rPr>
        <w:t xml:space="preserve"> (trong trường hợp dự toán dự án được điều chỉnh)</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80" w:after="80"/>
        <w:ind w:firstLine="567" w:right="0"/>
        <w:jc w:val="both"/>
        <w:rPr>
          <w:rFonts w:ascii="Times New Roman" w:hAnsi="Times New Roman" w:eastAsia="Times New Roman" w:cs="Times New Roman"/>
          <w:sz w:val="28"/>
          <w:szCs w:val="28"/>
          <w:lang w:eastAsia="vi-VN"/>
        </w:rPr>
      </w:pPr>
      <w:r>
        <w:rPr>
          <w:rFonts w:cs="Times New Roman" w:ascii="Times New Roman" w:hAnsi="Times New Roman"/>
          <w:sz w:val="28"/>
          <w:szCs w:val="28"/>
        </w:rPr>
        <w:t>Giá trị tổng mức đầu tư được phê duyệt hoặc điều chỉnh lần gần nhất (trong trường hợp tổng mức đầu tư được điều chỉnh).</w:t>
      </w:r>
    </w:p>
    <w:p>
      <w:pPr>
        <w:pStyle w:val="Normal"/>
        <w:widowControl w:val="false"/>
        <w:shd w:fill="FFFFFF" w:val="clear"/>
        <w:spacing w:lineRule="auto" w:line="240" w:before="80" w:after="8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Khi được cơ quan, người có thẩm quyền phê duyệt quyết toán, cơ quan, đơn vị được giao quản lý tài sản kết cấu hạ tầng chợ thực hiện điều chỉnh lại nguyên giá tạm tính theo giá trị quyết toán được phê duyệt để điều chỉnh sổ kế toán và thực hiện kế toán tài sản theo quy định</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80" w:after="80"/>
        <w:ind w:firstLine="567" w:right="0"/>
        <w:jc w:val="both"/>
        <w:rPr>
          <w:rFonts w:ascii="Times New Roman" w:hAnsi="Times New Roman" w:eastAsia="Times New Roman" w:cs="Times New Roman"/>
          <w:strike/>
          <w:sz w:val="28"/>
          <w:szCs w:val="28"/>
          <w:lang w:val="en-US" w:eastAsia="vi-VN"/>
        </w:rPr>
      </w:pPr>
      <w:r>
        <w:rPr>
          <w:rFonts w:eastAsia="Times New Roman" w:cs="Times New Roman" w:ascii="Times New Roman" w:hAnsi="Times New Roman"/>
          <w:sz w:val="28"/>
          <w:szCs w:val="28"/>
          <w:lang w:eastAsia="vi-VN"/>
        </w:rPr>
        <w:t xml:space="preserve">b) Trường hợp dự án bao gồm nhiều hạng mục, tài sản (nhiều đối tượng ghi sổ kế toán tài sản) khác nhau nhưng không dự toán riêng, quyết toán riêng hoặc có dự toán riêng nhưng không quyết toán riêng cho từng hạng mục, tài sản thì thực hiện phân bổ cho từng hạng mục, tài sản để ghi sổ kế toán theo </w:t>
      </w:r>
      <w:r>
        <w:rPr>
          <w:rFonts w:cs="Times New Roman" w:ascii="Times New Roman" w:hAnsi="Times New Roman"/>
          <w:sz w:val="28"/>
          <w:szCs w:val="28"/>
        </w:rPr>
        <w:t>nguyên tắc chi phí trực tiếp liên quan đến tài sản cố định nào thì tính cho tài sản cố định đó; chi phí chung liên quan đến nhiều tài sản cố định thì phân bổ theo tỷ lệ chi phí trực tiếp của từng tài sản cố định so với tổng số chi phí trực tiếp của toàn bộ tài sản cố định</w:t>
      </w:r>
      <w:r>
        <w:rPr>
          <w:rFonts w:cs="Times New Roman" w:ascii="Times New Roman" w:hAnsi="Times New Roman"/>
          <w:sz w:val="28"/>
          <w:szCs w:val="28"/>
          <w:lang w:val="en-US"/>
        </w:rPr>
        <w:t>.</w:t>
      </w:r>
    </w:p>
    <w:p>
      <w:pPr>
        <w:pStyle w:val="Normal"/>
        <w:widowControl w:val="false"/>
        <w:shd w:fill="FFFFFF" w:val="clear"/>
        <w:spacing w:lineRule="auto" w:line="240" w:before="80" w:after="8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c) Đối với dự án bao gồm nhiều hạng mục, tài sản (nhiều đối tượng ghi sổ kế toán tài sản) khác nhau mà được đầu tư, nghiệm thu theo từng hạng mục, tài sản thì hạng mục, tài sản nào đã hoàn thành việc đầu tư xây dựng, nghiệm thu đưa vào sử dụng phải ghi sổ kế toán đối với hạng mục, tài sản đó kể từ ngày bàn giao đưa vào sử dụng</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80" w:after="80"/>
        <w:ind w:firstLine="567" w:right="0"/>
        <w:jc w:val="both"/>
        <w:rPr/>
      </w:pPr>
      <w:r>
        <w:rPr>
          <w:rFonts w:eastAsia="Times New Roman" w:cs="Times New Roman" w:ascii="Times New Roman" w:hAnsi="Times New Roman"/>
          <w:sz w:val="28"/>
          <w:szCs w:val="28"/>
          <w:lang w:eastAsia="vi-VN"/>
        </w:rPr>
        <w:t>d) Trường hợp giá trị quyết toán của dự án phải điều chỉnh theo kiến nghị, kết luận của cơ quan có thẩm quyền sau khi được thanh tra, kiểm toán thì cơ quan, đơn vị được giao quản lý tài sản kết cấu hạ tầng chợ phải thực hiện điều chỉnh lại nguyên giá theo kiến nghị, kết luận của cơ quan có thẩm quyền.</w:t>
      </w:r>
    </w:p>
    <w:p>
      <w:pPr>
        <w:pStyle w:val="Normal"/>
        <w:widowControl w:val="false"/>
        <w:shd w:fill="FFFFFF" w:val="clear"/>
        <w:spacing w:lineRule="auto" w:line="240" w:before="80" w:after="80"/>
        <w:ind w:firstLine="567" w:right="0"/>
        <w:jc w:val="both"/>
        <w:rPr/>
      </w:pPr>
      <w:r>
        <w:rPr>
          <w:rFonts w:eastAsia="Times New Roman" w:cs="Times New Roman" w:ascii="Times New Roman" w:hAnsi="Times New Roman"/>
          <w:sz w:val="28"/>
          <w:szCs w:val="28"/>
          <w:lang w:eastAsia="vi-VN"/>
        </w:rPr>
        <w:t>4. Nguyên giá của tài sản kết cấu hạ tầng chợ tiếp nhận từ việc được giao, điều chuyển kể từ ngày Nghị định số </w:t>
      </w:r>
      <w:hyperlink r:id="rId9" w:tgtFrame="_blank">
        <w:r>
          <w:rPr>
            <w:rStyle w:val="Hyperlink"/>
            <w:rFonts w:eastAsia="Times New Roman" w:cs="Times New Roman" w:ascii="Times New Roman" w:hAnsi="Times New Roman"/>
            <w:sz w:val="28"/>
            <w:szCs w:val="28"/>
            <w:lang w:eastAsia="vi-VN"/>
          </w:rPr>
          <w:t>60/2024/NĐ-CP</w:t>
        </w:r>
      </w:hyperlink>
      <w:r>
        <w:rPr>
          <w:rFonts w:eastAsia="Times New Roman" w:cs="Times New Roman" w:ascii="Times New Roman" w:hAnsi="Times New Roman"/>
          <w:sz w:val="28"/>
          <w:szCs w:val="28"/>
          <w:lang w:eastAsia="vi-VN"/>
        </w:rPr>
        <w:t> có hiệu lực thi hành (ngày 01 tháng 8 năm 2024) được xác định như sau:</w:t>
      </w:r>
    </w:p>
    <w:tbl>
      <w:tblPr>
        <w:tblW w:w="5050" w:type="pct"/>
        <w:jc w:val="center"/>
        <w:tblInd w:w="0" w:type="dxa"/>
        <w:tblLayout w:type="fixed"/>
        <w:tblCellMar>
          <w:top w:w="0" w:type="dxa"/>
          <w:left w:w="108" w:type="dxa"/>
          <w:bottom w:w="0" w:type="dxa"/>
          <w:right w:w="108" w:type="dxa"/>
        </w:tblCellMar>
      </w:tblPr>
      <w:tblGrid>
        <w:gridCol w:w="1817"/>
        <w:gridCol w:w="313"/>
        <w:gridCol w:w="1473"/>
        <w:gridCol w:w="345"/>
        <w:gridCol w:w="1732"/>
        <w:gridCol w:w="372"/>
        <w:gridCol w:w="1970"/>
        <w:gridCol w:w="275"/>
        <w:gridCol w:w="863"/>
      </w:tblGrid>
      <w:tr>
        <w:trPr/>
        <w:tc>
          <w:tcPr>
            <w:tcW w:w="1817" w:type="dxa"/>
            <w:tcBorders/>
            <w:vAlign w:val="center"/>
          </w:tcPr>
          <w:p>
            <w:pPr>
              <w:pStyle w:val="Normal"/>
              <w:widowControl w:val="false"/>
              <w:spacing w:lineRule="auto" w:line="240" w:before="120" w:after="120"/>
              <w:jc w:val="center"/>
              <w:rPr>
                <w:rFonts w:ascii="Times New Roman" w:hAnsi="Times New Roman" w:eastAsia="Times New Roman" w:cs="Times New Roman"/>
                <w:sz w:val="25"/>
                <w:szCs w:val="25"/>
                <w:lang w:val="en-US" w:eastAsia="vi-VN"/>
              </w:rPr>
            </w:pPr>
            <w:r>
              <w:rPr>
                <w:rFonts w:eastAsia="Times New Roman" w:cs="Times New Roman" w:ascii="Times New Roman" w:hAnsi="Times New Roman"/>
                <w:sz w:val="25"/>
                <w:szCs w:val="25"/>
                <w:lang w:eastAsia="vi-VN"/>
              </w:rPr>
              <w:t>Nguyên giá tài sản kết cấu hạ tầng chợ được giao, điều chuyển</w:t>
            </w:r>
            <w:r>
              <w:rPr>
                <w:rFonts w:eastAsia="Times New Roman" w:cs="Times New Roman" w:ascii="Times New Roman" w:hAnsi="Times New Roman"/>
                <w:sz w:val="25"/>
                <w:szCs w:val="25"/>
                <w:lang w:val="en-US" w:eastAsia="vi-VN"/>
              </w:rPr>
              <w:t xml:space="preserve"> (đồng)</w:t>
            </w:r>
          </w:p>
        </w:tc>
        <w:tc>
          <w:tcPr>
            <w:tcW w:w="313" w:type="dxa"/>
            <w:tcBorders/>
            <w:vAlign w:val="center"/>
          </w:tcPr>
          <w:p>
            <w:pPr>
              <w:pStyle w:val="Normal"/>
              <w:widowControl w:val="false"/>
              <w:spacing w:lineRule="auto" w:line="240" w:before="120" w:after="120"/>
              <w:jc w:val="both"/>
              <w:rPr>
                <w:rFonts w:ascii="Times New Roman" w:hAnsi="Times New Roman" w:eastAsia="Times New Roman" w:cs="Times New Roman"/>
                <w:sz w:val="25"/>
                <w:szCs w:val="25"/>
                <w:lang w:eastAsia="vi-VN"/>
              </w:rPr>
            </w:pPr>
            <w:r>
              <w:rPr>
                <w:rFonts w:eastAsia="Times New Roman" w:cs="Times New Roman" w:ascii="Times New Roman" w:hAnsi="Times New Roman"/>
                <w:sz w:val="25"/>
                <w:szCs w:val="25"/>
                <w:lang w:eastAsia="vi-VN"/>
              </w:rPr>
              <w:t>=</w:t>
            </w:r>
          </w:p>
        </w:tc>
        <w:tc>
          <w:tcPr>
            <w:tcW w:w="1473" w:type="dxa"/>
            <w:tcBorders/>
            <w:vAlign w:val="center"/>
          </w:tcPr>
          <w:p>
            <w:pPr>
              <w:pStyle w:val="Normal"/>
              <w:widowControl w:val="false"/>
              <w:spacing w:lineRule="auto" w:line="240" w:before="120" w:after="120"/>
              <w:jc w:val="center"/>
              <w:rPr>
                <w:rFonts w:ascii="Times New Roman" w:hAnsi="Times New Roman" w:eastAsia="Times New Roman" w:cs="Times New Roman"/>
                <w:sz w:val="25"/>
                <w:szCs w:val="25"/>
                <w:lang w:val="en-US" w:eastAsia="vi-VN"/>
              </w:rPr>
            </w:pPr>
            <w:r>
              <w:rPr>
                <w:rFonts w:eastAsia="Times New Roman" w:cs="Times New Roman" w:ascii="Times New Roman" w:hAnsi="Times New Roman"/>
                <w:sz w:val="25"/>
                <w:szCs w:val="25"/>
                <w:lang w:eastAsia="vi-VN"/>
              </w:rPr>
              <w:t>Nguyên giá ghi trên Biên bản bàn giao, tiếp nhận tài sản</w:t>
            </w:r>
            <w:r>
              <w:rPr>
                <w:rFonts w:eastAsia="Times New Roman" w:cs="Times New Roman" w:ascii="Times New Roman" w:hAnsi="Times New Roman"/>
                <w:sz w:val="25"/>
                <w:szCs w:val="25"/>
                <w:lang w:val="en-US" w:eastAsia="vi-VN"/>
              </w:rPr>
              <w:t xml:space="preserve"> (đồng)</w:t>
            </w:r>
          </w:p>
        </w:tc>
        <w:tc>
          <w:tcPr>
            <w:tcW w:w="345" w:type="dxa"/>
            <w:tcBorders/>
            <w:vAlign w:val="center"/>
          </w:tcPr>
          <w:p>
            <w:pPr>
              <w:pStyle w:val="Normal"/>
              <w:widowControl w:val="false"/>
              <w:spacing w:lineRule="auto" w:line="240" w:before="120" w:after="120"/>
              <w:jc w:val="both"/>
              <w:rPr>
                <w:rFonts w:ascii="Times New Roman" w:hAnsi="Times New Roman" w:eastAsia="Times New Roman" w:cs="Times New Roman"/>
                <w:sz w:val="25"/>
                <w:szCs w:val="25"/>
                <w:lang w:eastAsia="vi-VN"/>
              </w:rPr>
            </w:pPr>
            <w:r>
              <w:rPr>
                <w:rFonts w:eastAsia="Times New Roman" w:cs="Times New Roman" w:ascii="Times New Roman" w:hAnsi="Times New Roman"/>
                <w:sz w:val="25"/>
                <w:szCs w:val="25"/>
                <w:lang w:eastAsia="vi-VN"/>
              </w:rPr>
              <w:t>+</w:t>
            </w:r>
          </w:p>
        </w:tc>
        <w:tc>
          <w:tcPr>
            <w:tcW w:w="1732" w:type="dxa"/>
            <w:tcBorders/>
            <w:vAlign w:val="center"/>
          </w:tcPr>
          <w:p>
            <w:pPr>
              <w:pStyle w:val="Normal"/>
              <w:widowControl w:val="false"/>
              <w:spacing w:lineRule="auto" w:line="240" w:before="120" w:after="120"/>
              <w:jc w:val="center"/>
              <w:rPr>
                <w:rFonts w:ascii="Times New Roman" w:hAnsi="Times New Roman" w:eastAsia="Times New Roman" w:cs="Times New Roman"/>
                <w:sz w:val="25"/>
                <w:szCs w:val="25"/>
                <w:lang w:val="en-US" w:eastAsia="vi-VN"/>
              </w:rPr>
            </w:pPr>
            <w:r>
              <w:rPr>
                <w:rFonts w:eastAsia="Times New Roman" w:cs="Times New Roman" w:ascii="Times New Roman" w:hAnsi="Times New Roman"/>
                <w:sz w:val="25"/>
                <w:szCs w:val="25"/>
                <w:lang w:eastAsia="vi-VN"/>
              </w:rPr>
              <w:t>Chi phí vận chuyển, bốc dỡ, chi phí sửa chữa, cải tạo, nâng cấp, chi phí lắp đặt, chạy thử</w:t>
            </w:r>
            <w:r>
              <w:rPr>
                <w:rFonts w:eastAsia="Times New Roman" w:cs="Times New Roman" w:ascii="Times New Roman" w:hAnsi="Times New Roman"/>
                <w:sz w:val="25"/>
                <w:szCs w:val="25"/>
                <w:lang w:val="en-US" w:eastAsia="vi-VN"/>
              </w:rPr>
              <w:t xml:space="preserve"> (đồng)</w:t>
            </w:r>
          </w:p>
        </w:tc>
        <w:tc>
          <w:tcPr>
            <w:tcW w:w="372" w:type="dxa"/>
            <w:tcBorders/>
            <w:vAlign w:val="center"/>
          </w:tcPr>
          <w:p>
            <w:pPr>
              <w:pStyle w:val="Normal"/>
              <w:widowControl w:val="false"/>
              <w:spacing w:lineRule="auto" w:line="240" w:before="120" w:after="120"/>
              <w:jc w:val="both"/>
              <w:rPr>
                <w:rFonts w:ascii="Times New Roman" w:hAnsi="Times New Roman" w:eastAsia="Times New Roman" w:cs="Times New Roman"/>
                <w:sz w:val="25"/>
                <w:szCs w:val="25"/>
                <w:lang w:eastAsia="vi-VN"/>
              </w:rPr>
            </w:pPr>
            <w:r>
              <w:rPr>
                <w:rFonts w:eastAsia="Times New Roman" w:cs="Times New Roman" w:ascii="Times New Roman" w:hAnsi="Times New Roman"/>
                <w:sz w:val="25"/>
                <w:szCs w:val="25"/>
                <w:lang w:eastAsia="vi-VN"/>
              </w:rPr>
              <w:t>+</w:t>
            </w:r>
          </w:p>
        </w:tc>
        <w:tc>
          <w:tcPr>
            <w:tcW w:w="1970" w:type="dxa"/>
            <w:tcBorders/>
            <w:vAlign w:val="center"/>
          </w:tcPr>
          <w:p>
            <w:pPr>
              <w:pStyle w:val="Normal"/>
              <w:widowControl w:val="false"/>
              <w:spacing w:lineRule="auto" w:line="240" w:before="120" w:after="120"/>
              <w:jc w:val="center"/>
              <w:rPr>
                <w:rFonts w:ascii="Times New Roman" w:hAnsi="Times New Roman" w:eastAsia="Times New Roman" w:cs="Times New Roman"/>
                <w:sz w:val="25"/>
                <w:szCs w:val="25"/>
                <w:lang w:val="en-US" w:eastAsia="vi-VN"/>
              </w:rPr>
            </w:pPr>
            <w:r>
              <w:rPr>
                <w:rFonts w:eastAsia="Times New Roman" w:cs="Times New Roman" w:ascii="Times New Roman" w:hAnsi="Times New Roman"/>
                <w:sz w:val="25"/>
                <w:szCs w:val="25"/>
                <w:lang w:eastAsia="vi-VN"/>
              </w:rPr>
              <w:t>Các khoản phí, lệ phí theo quy định của pháp luật về phí và lệ phí</w:t>
            </w:r>
            <w:r>
              <w:rPr>
                <w:rFonts w:eastAsia="Times New Roman" w:cs="Times New Roman" w:ascii="Times New Roman" w:hAnsi="Times New Roman"/>
                <w:sz w:val="25"/>
                <w:szCs w:val="25"/>
                <w:lang w:val="en-US" w:eastAsia="vi-VN"/>
              </w:rPr>
              <w:t xml:space="preserve"> (đồng)</w:t>
            </w:r>
          </w:p>
        </w:tc>
        <w:tc>
          <w:tcPr>
            <w:tcW w:w="275" w:type="dxa"/>
            <w:tcBorders/>
            <w:vAlign w:val="center"/>
          </w:tcPr>
          <w:p>
            <w:pPr>
              <w:pStyle w:val="Normal"/>
              <w:widowControl w:val="false"/>
              <w:spacing w:lineRule="auto" w:line="240" w:before="120" w:after="120"/>
              <w:jc w:val="both"/>
              <w:rPr>
                <w:rFonts w:ascii="Times New Roman" w:hAnsi="Times New Roman" w:eastAsia="Times New Roman" w:cs="Times New Roman"/>
                <w:sz w:val="25"/>
                <w:szCs w:val="25"/>
                <w:lang w:eastAsia="vi-VN"/>
              </w:rPr>
            </w:pPr>
            <w:r>
              <w:rPr>
                <w:rFonts w:eastAsia="Times New Roman" w:cs="Times New Roman" w:ascii="Times New Roman" w:hAnsi="Times New Roman"/>
                <w:sz w:val="25"/>
                <w:szCs w:val="25"/>
                <w:lang w:eastAsia="vi-VN"/>
              </w:rPr>
              <w:t>+</w:t>
            </w:r>
          </w:p>
        </w:tc>
        <w:tc>
          <w:tcPr>
            <w:tcW w:w="863" w:type="dxa"/>
            <w:tcBorders/>
            <w:vAlign w:val="center"/>
          </w:tcPr>
          <w:p>
            <w:pPr>
              <w:pStyle w:val="Normal"/>
              <w:widowControl w:val="false"/>
              <w:spacing w:lineRule="auto" w:line="240" w:before="120" w:after="120"/>
              <w:jc w:val="center"/>
              <w:rPr>
                <w:rFonts w:ascii="Times New Roman" w:hAnsi="Times New Roman" w:eastAsia="Times New Roman" w:cs="Times New Roman"/>
                <w:sz w:val="25"/>
                <w:szCs w:val="25"/>
                <w:lang w:val="en-US" w:eastAsia="vi-VN"/>
              </w:rPr>
            </w:pPr>
            <w:r>
              <w:rPr>
                <w:rFonts w:eastAsia="Times New Roman" w:cs="Times New Roman" w:ascii="Times New Roman" w:hAnsi="Times New Roman"/>
                <w:sz w:val="25"/>
                <w:szCs w:val="25"/>
                <w:lang w:eastAsia="vi-VN"/>
              </w:rPr>
              <w:t>Chi phí khác (nếu có)</w:t>
            </w:r>
            <w:r>
              <w:rPr>
                <w:rFonts w:eastAsia="Times New Roman" w:cs="Times New Roman" w:ascii="Times New Roman" w:hAnsi="Times New Roman"/>
                <w:sz w:val="25"/>
                <w:szCs w:val="25"/>
                <w:lang w:val="en-US" w:eastAsia="vi-VN"/>
              </w:rPr>
              <w:t xml:space="preserve"> (đồng)</w:t>
            </w:r>
          </w:p>
        </w:tc>
      </w:tr>
    </w:tbl>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Trong đó:</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a) Nguyên giá ghi trên Biên bản bàn giao, tiếp nhận tài sản được xác định như sau:</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a1) Đối với tài sản đã được theo dõi, ghi sổ kế toán, nguyên giá ghi trên Biên bản bàn giao, tiếp nhận tài sản là nguyên giá đã được cơ quan, đơn vị có tài sản giao, điều chuyển theo dõi, ghi sổ kế toán</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a2) Đối với tài sản chưa được theo dõi, ghi sổ kế toán thì cơ quan, đơn vị có tài sản giao, điều chuyển có trách nhiệm xác định nguyên giá tài sản theo quy định tương ứng tại các khoản 1, 2 và 3 Điều này trước khi trình cơ quan, người có thẩm quyền quyết định giao, điều chuyển tài sản</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b) Chi phí khác (nếu có) là các chi phí hợp lý liên quan trực tiếp đến việc tiếp nhận tài sản kết cấu hạ tầng chợ được giao, điều chuyển mà cơ quan, đơn vị tiếp nhận tài sản đã chi ra tính đến thời điểm đưa tài sản vào sử dụng. Trường hợp phát sinh chi phí chung cho nhiều tài sản kết cấu hạ tầng chợ thì cơ quan, đơn vị thực hiện phân bổ chi phí cho từng tài sản theo tiêu chí cho phù hợp (như: diện tích xây dựng, số lượng, giá trị tài sản phát sinh chi phí chung...).</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5. Nguyên giá của tài sản kết cấu hạ tầng chợ</w:t>
      </w:r>
      <w:r>
        <w:rPr/>
        <w:t xml:space="preserve"> khi kiểm kê phát hiện thừa được xác định như sau:</w:t>
      </w:r>
    </w:p>
    <w:tbl>
      <w:tblPr>
        <w:tblW w:w="5000" w:type="pct"/>
        <w:jc w:val="center"/>
        <w:tblInd w:w="0" w:type="dxa"/>
        <w:tblLayout w:type="fixed"/>
        <w:tblCellMar>
          <w:top w:w="0" w:type="dxa"/>
          <w:left w:w="108" w:type="dxa"/>
          <w:bottom w:w="0" w:type="dxa"/>
          <w:right w:w="108" w:type="dxa"/>
        </w:tblCellMar>
      </w:tblPr>
      <w:tblGrid>
        <w:gridCol w:w="2592"/>
        <w:gridCol w:w="252"/>
        <w:gridCol w:w="2133"/>
        <w:gridCol w:w="341"/>
        <w:gridCol w:w="2410"/>
        <w:gridCol w:w="228"/>
        <w:gridCol w:w="1114"/>
      </w:tblGrid>
      <w:tr>
        <w:trPr/>
        <w:tc>
          <w:tcPr>
            <w:tcW w:w="2592" w:type="dxa"/>
            <w:tcBorders/>
            <w:vAlign w:val="center"/>
          </w:tcPr>
          <w:p>
            <w:pPr>
              <w:pStyle w:val="Normal"/>
              <w:widowControl w:val="false"/>
              <w:spacing w:lineRule="auto" w:line="240" w:before="120" w:after="120"/>
              <w:jc w:val="center"/>
              <w:rPr>
                <w:rFonts w:ascii="Times New Roman" w:hAnsi="Times New Roman" w:eastAsia="Times New Roman" w:cs="Times New Roman"/>
                <w:sz w:val="26"/>
                <w:szCs w:val="26"/>
                <w:lang w:val="en-US" w:eastAsia="vi-VN"/>
              </w:rPr>
            </w:pPr>
            <w:r>
              <w:rPr>
                <w:rFonts w:eastAsia="Times New Roman" w:cs="Times New Roman" w:ascii="Times New Roman" w:hAnsi="Times New Roman"/>
                <w:sz w:val="26"/>
                <w:szCs w:val="26"/>
                <w:lang w:eastAsia="vi-VN"/>
              </w:rPr>
              <w:t>Nguyên giá tài sản kết cấu hạ tầng chợ khi kiểm kê phát hiện thừa</w:t>
            </w:r>
            <w:r>
              <w:rPr>
                <w:rFonts w:eastAsia="Times New Roman" w:cs="Times New Roman" w:ascii="Times New Roman" w:hAnsi="Times New Roman"/>
                <w:sz w:val="26"/>
                <w:szCs w:val="26"/>
                <w:lang w:val="en-US" w:eastAsia="vi-VN"/>
              </w:rPr>
              <w:t xml:space="preserve"> (đồng)</w:t>
            </w:r>
          </w:p>
        </w:tc>
        <w:tc>
          <w:tcPr>
            <w:tcW w:w="252" w:type="dxa"/>
            <w:tcBorders/>
            <w:vAlign w:val="center"/>
          </w:tcPr>
          <w:p>
            <w:pPr>
              <w:pStyle w:val="Normal"/>
              <w:widowControl w:val="false"/>
              <w:spacing w:lineRule="auto" w:line="240" w:before="120" w:after="120"/>
              <w:jc w:val="both"/>
              <w:rPr>
                <w:rFonts w:ascii="Times New Roman" w:hAnsi="Times New Roman" w:eastAsia="Times New Roman" w:cs="Times New Roman"/>
                <w:sz w:val="26"/>
                <w:szCs w:val="26"/>
                <w:lang w:eastAsia="vi-VN"/>
              </w:rPr>
            </w:pPr>
            <w:r>
              <w:rPr>
                <w:rFonts w:eastAsia="Times New Roman" w:cs="Times New Roman" w:ascii="Times New Roman" w:hAnsi="Times New Roman"/>
                <w:sz w:val="26"/>
                <w:szCs w:val="26"/>
                <w:lang w:eastAsia="vi-VN"/>
              </w:rPr>
              <w:t>=</w:t>
            </w:r>
          </w:p>
        </w:tc>
        <w:tc>
          <w:tcPr>
            <w:tcW w:w="2133" w:type="dxa"/>
            <w:tcBorders/>
            <w:vAlign w:val="center"/>
          </w:tcPr>
          <w:p>
            <w:pPr>
              <w:pStyle w:val="Normal"/>
              <w:widowControl w:val="false"/>
              <w:spacing w:lineRule="auto" w:line="240" w:before="120" w:after="120"/>
              <w:jc w:val="center"/>
              <w:rPr>
                <w:rFonts w:ascii="Times New Roman" w:hAnsi="Times New Roman" w:eastAsia="Times New Roman" w:cs="Times New Roman"/>
                <w:sz w:val="26"/>
                <w:szCs w:val="26"/>
                <w:lang w:val="en-US" w:eastAsia="vi-VN"/>
              </w:rPr>
            </w:pPr>
            <w:r>
              <w:rPr>
                <w:rFonts w:eastAsia="Times New Roman" w:cs="Times New Roman" w:ascii="Times New Roman" w:hAnsi="Times New Roman"/>
                <w:sz w:val="26"/>
                <w:szCs w:val="26"/>
                <w:lang w:eastAsia="vi-VN"/>
              </w:rPr>
              <w:t>Nguyên giá ghi trên Biên bản kiểm kê</w:t>
            </w:r>
            <w:r>
              <w:rPr>
                <w:rFonts w:eastAsia="Times New Roman" w:cs="Times New Roman" w:ascii="Times New Roman" w:hAnsi="Times New Roman"/>
                <w:sz w:val="26"/>
                <w:szCs w:val="26"/>
                <w:lang w:val="en-US" w:eastAsia="vi-VN"/>
              </w:rPr>
              <w:t xml:space="preserve"> (đồng)</w:t>
            </w:r>
          </w:p>
        </w:tc>
        <w:tc>
          <w:tcPr>
            <w:tcW w:w="341" w:type="dxa"/>
            <w:tcBorders/>
            <w:vAlign w:val="center"/>
          </w:tcPr>
          <w:p>
            <w:pPr>
              <w:pStyle w:val="Normal"/>
              <w:widowControl w:val="false"/>
              <w:spacing w:lineRule="auto" w:line="240" w:before="120" w:after="120"/>
              <w:jc w:val="both"/>
              <w:rPr>
                <w:rFonts w:ascii="Times New Roman" w:hAnsi="Times New Roman" w:eastAsia="Times New Roman" w:cs="Times New Roman"/>
                <w:sz w:val="26"/>
                <w:szCs w:val="26"/>
                <w:lang w:eastAsia="vi-VN"/>
              </w:rPr>
            </w:pPr>
            <w:r>
              <w:rPr>
                <w:rFonts w:eastAsia="Times New Roman" w:cs="Times New Roman" w:ascii="Times New Roman" w:hAnsi="Times New Roman"/>
                <w:sz w:val="26"/>
                <w:szCs w:val="26"/>
                <w:lang w:eastAsia="vi-VN"/>
              </w:rPr>
              <w:t>+</w:t>
            </w:r>
          </w:p>
        </w:tc>
        <w:tc>
          <w:tcPr>
            <w:tcW w:w="2410" w:type="dxa"/>
            <w:tcBorders/>
            <w:vAlign w:val="center"/>
          </w:tcPr>
          <w:p>
            <w:pPr>
              <w:pStyle w:val="Normal"/>
              <w:widowControl w:val="false"/>
              <w:spacing w:lineRule="auto" w:line="240" w:before="120" w:after="120"/>
              <w:jc w:val="center"/>
              <w:rPr>
                <w:rFonts w:ascii="Times New Roman" w:hAnsi="Times New Roman" w:eastAsia="Times New Roman" w:cs="Times New Roman"/>
                <w:sz w:val="26"/>
                <w:szCs w:val="26"/>
                <w:lang w:val="en-US" w:eastAsia="vi-VN"/>
              </w:rPr>
            </w:pPr>
            <w:r>
              <w:rPr>
                <w:rFonts w:eastAsia="Times New Roman" w:cs="Times New Roman" w:ascii="Times New Roman" w:hAnsi="Times New Roman"/>
                <w:sz w:val="26"/>
                <w:szCs w:val="26"/>
                <w:lang w:eastAsia="vi-VN"/>
              </w:rPr>
              <w:t>Các khoản phí, lệ phí theo quy định của pháp luật về phí và lệ phí</w:t>
            </w:r>
            <w:r>
              <w:rPr>
                <w:rFonts w:eastAsia="Times New Roman" w:cs="Times New Roman" w:ascii="Times New Roman" w:hAnsi="Times New Roman"/>
                <w:sz w:val="26"/>
                <w:szCs w:val="26"/>
                <w:lang w:val="en-US" w:eastAsia="vi-VN"/>
              </w:rPr>
              <w:t xml:space="preserve"> (đồng)</w:t>
            </w:r>
          </w:p>
        </w:tc>
        <w:tc>
          <w:tcPr>
            <w:tcW w:w="228" w:type="dxa"/>
            <w:tcBorders/>
            <w:vAlign w:val="center"/>
          </w:tcPr>
          <w:p>
            <w:pPr>
              <w:pStyle w:val="Normal"/>
              <w:widowControl w:val="false"/>
              <w:spacing w:lineRule="auto" w:line="240" w:before="120" w:after="120"/>
              <w:rPr>
                <w:rFonts w:ascii="Times New Roman" w:hAnsi="Times New Roman" w:eastAsia="Times New Roman" w:cs="Times New Roman"/>
                <w:sz w:val="26"/>
                <w:szCs w:val="26"/>
                <w:lang w:eastAsia="vi-VN"/>
              </w:rPr>
            </w:pPr>
            <w:r>
              <w:rPr>
                <w:rFonts w:eastAsia="Times New Roman" w:cs="Times New Roman" w:ascii="Times New Roman" w:hAnsi="Times New Roman"/>
                <w:sz w:val="26"/>
                <w:szCs w:val="26"/>
                <w:lang w:eastAsia="vi-VN"/>
              </w:rPr>
              <w:t>+</w:t>
            </w:r>
          </w:p>
        </w:tc>
        <w:tc>
          <w:tcPr>
            <w:tcW w:w="1114" w:type="dxa"/>
            <w:tcBorders/>
            <w:vAlign w:val="center"/>
          </w:tcPr>
          <w:p>
            <w:pPr>
              <w:pStyle w:val="Normal"/>
              <w:widowControl w:val="false"/>
              <w:spacing w:lineRule="auto" w:line="240" w:before="120" w:after="120"/>
              <w:jc w:val="center"/>
              <w:rPr>
                <w:rFonts w:ascii="Times New Roman" w:hAnsi="Times New Roman" w:eastAsia="Times New Roman" w:cs="Times New Roman"/>
                <w:sz w:val="26"/>
                <w:szCs w:val="26"/>
                <w:lang w:val="en-US" w:eastAsia="vi-VN"/>
              </w:rPr>
            </w:pPr>
            <w:r>
              <w:rPr>
                <w:rFonts w:eastAsia="Times New Roman" w:cs="Times New Roman" w:ascii="Times New Roman" w:hAnsi="Times New Roman"/>
                <w:sz w:val="26"/>
                <w:szCs w:val="26"/>
                <w:lang w:eastAsia="vi-VN"/>
              </w:rPr>
              <w:t>Chi phí khác (nếu có)</w:t>
            </w:r>
            <w:r>
              <w:rPr>
                <w:rFonts w:eastAsia="Times New Roman" w:cs="Times New Roman" w:ascii="Times New Roman" w:hAnsi="Times New Roman"/>
                <w:sz w:val="26"/>
                <w:szCs w:val="26"/>
                <w:lang w:val="en-US" w:eastAsia="vi-VN"/>
              </w:rPr>
              <w:t xml:space="preserve"> (đồng)</w:t>
            </w:r>
          </w:p>
        </w:tc>
      </w:tr>
    </w:tbl>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Trong đó:</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color w:val="FF0000"/>
          <w:sz w:val="28"/>
          <w:szCs w:val="28"/>
          <w:lang w:val="en-US" w:eastAsia="vi-VN"/>
        </w:rPr>
      </w:pPr>
      <w:r>
        <w:rPr>
          <w:rFonts w:eastAsia="Times New Roman" w:cs="Times New Roman" w:ascii="Times New Roman" w:hAnsi="Times New Roman"/>
          <w:sz w:val="28"/>
          <w:szCs w:val="28"/>
          <w:lang w:eastAsia="vi-VN"/>
        </w:rPr>
        <w:t>a) Nguyên giá ghi trên Biên bản kiểm kê được xác định tương ứng tại các khoản 1, 2 và 3 Điều này</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 xml:space="preserve">b) Chi phí khác (nếu có) là các chi phí hợp lý mà cơ quan, đơn vị đã chi ra trong quá trình kiểm kê (bao gồm cả chi phí </w:t>
      </w:r>
      <w:r>
        <w:rPr>
          <w:rFonts w:cs="Times New Roman" w:ascii="Times New Roman" w:hAnsi="Times New Roman"/>
          <w:sz w:val="28"/>
          <w:szCs w:val="28"/>
          <w:shd w:fill="FFFFFF" w:val="clear"/>
        </w:rPr>
        <w:t xml:space="preserve">lựa chọn thuê doanh nghiệp thẩm định giá để tư vấn xác định giá trị tài sản theo Chuẩn mực thẩm định giá Việt Nam hoặc thành lập Hội đồng xác định giá </w:t>
      </w:r>
      <w:r>
        <w:rPr>
          <w:rFonts w:eastAsia="Times New Roman" w:cs="Times New Roman" w:ascii="Times New Roman" w:hAnsi="Times New Roman"/>
          <w:sz w:val="28"/>
          <w:szCs w:val="28"/>
          <w:lang w:eastAsia="vi-VN"/>
        </w:rPr>
        <w:t xml:space="preserve">theo quy định tại Điều 7 Thông tư này </w:t>
      </w:r>
      <w:r>
        <w:rPr>
          <w:rFonts w:cs="Times New Roman" w:ascii="Times New Roman" w:hAnsi="Times New Roman"/>
          <w:sz w:val="28"/>
          <w:szCs w:val="28"/>
          <w:shd w:fill="FFFFFF" w:val="clear"/>
        </w:rPr>
        <w:t>làm cơ sở</w:t>
      </w:r>
      <w:r>
        <w:rPr>
          <w:rFonts w:eastAsia="Times New Roman" w:cs="Times New Roman" w:ascii="Times New Roman" w:hAnsi="Times New Roman"/>
          <w:sz w:val="28"/>
          <w:szCs w:val="28"/>
          <w:lang w:eastAsia="vi-VN"/>
        </w:rPr>
        <w:t xml:space="preserve"> để xác định nguyên giá, giá trị còn lại của tài sản kết cấu hạ tầng chợ để ghi sổ kế toán</w:t>
      </w:r>
      <w:r>
        <w:rPr>
          <w:rFonts w:eastAsia="Times New Roman" w:cs="Times New Roman" w:ascii="Times New Roman" w:hAnsi="Times New Roman"/>
          <w:sz w:val="28"/>
          <w:szCs w:val="28"/>
          <w:lang w:val="en-US" w:eastAsia="vi-VN"/>
        </w:rPr>
        <w:t>)</w:t>
      </w:r>
      <w:r>
        <w:rPr>
          <w:rFonts w:eastAsia="Times New Roman" w:cs="Times New Roman" w:ascii="Times New Roman" w:hAnsi="Times New Roman"/>
          <w:sz w:val="28"/>
          <w:szCs w:val="28"/>
          <w:lang w:eastAsia="vi-VN"/>
        </w:rPr>
        <w:t xml:space="preserve">. Trường hợp phát sinh chi phí chung cho nhiều tài sản thì cơ quan, đơn vị thực hiện phân bổ chi phí cho từng tài sản theo tiêu chí cho phù hợp (như: diện tích xây dựng, số lượng, giá trị tài sản phát sinh chi phí chung...). </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6. Đối với tài sản kết cấu hạ tầng chợ cơ quan, đơn vị tiếp nhận lại tài sản sau khi hết thời gian chuyển nhượng có thời hạn quyền khai thác theo quy định tại </w:t>
      </w:r>
      <w:bookmarkStart w:id="21" w:name="tc_10"/>
      <w:r>
        <w:rPr>
          <w:rFonts w:eastAsia="Times New Roman" w:cs="Times New Roman" w:ascii="Times New Roman" w:hAnsi="Times New Roman"/>
          <w:sz w:val="28"/>
          <w:szCs w:val="28"/>
          <w:lang w:eastAsia="vi-VN"/>
        </w:rPr>
        <w:t>điểm c khoản 7 Điều 4 Thông tư này</w:t>
      </w:r>
      <w:bookmarkEnd w:id="21"/>
      <w:r>
        <w:rPr>
          <w:rFonts w:eastAsia="Times New Roman" w:cs="Times New Roman" w:ascii="Times New Roman" w:hAnsi="Times New Roman"/>
          <w:sz w:val="28"/>
          <w:szCs w:val="28"/>
          <w:lang w:eastAsia="vi-VN"/>
        </w:rPr>
        <w:t> thì nguyên giá tài sản kết cấu hạ tầng chợ được xác định lại bằng (=) nguyên giá đã hạch toán tại thời điểm chuyển nhượng theo Hợp đồng chuyển nhượng có thời hạn quyền khai thác tài sản cộng (+) giá trị đầu tư nâng cấp, mở rộng theo dự án được cơ quan, người có thẩm quyền phê duyệt</w:t>
      </w:r>
      <w:r>
        <w:rPr>
          <w:rFonts w:eastAsia="Times New Roman" w:cs="Times New Roman" w:ascii="Times New Roman" w:hAnsi="Times New Roman"/>
          <w:sz w:val="28"/>
          <w:szCs w:val="28"/>
          <w:lang w:val="en-US" w:eastAsia="vi-VN"/>
        </w:rPr>
        <w:t xml:space="preserve"> (nếu có)</w:t>
      </w:r>
      <w:r>
        <w:rPr>
          <w:rFonts w:eastAsia="Times New Roman" w:cs="Times New Roman" w:ascii="Times New Roman" w:hAnsi="Times New Roman"/>
          <w:sz w:val="28"/>
          <w:szCs w:val="28"/>
          <w:lang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7. Các trường hợp thay đổi nguyên giá tài sản kết cấu hạ tầng chợ:</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 xml:space="preserve">a) Đánh giá lại giá trị tài sản khi thực hiện kiểm kê theo quyết định của </w:t>
      </w:r>
      <w:r>
        <w:rPr>
          <w:rFonts w:eastAsia="Times New Roman" w:cs="Times New Roman" w:ascii="Times New Roman" w:hAnsi="Times New Roman"/>
          <w:sz w:val="28"/>
          <w:szCs w:val="28"/>
          <w:lang w:val="en-US" w:eastAsia="vi-VN"/>
        </w:rPr>
        <w:t>cơ quan, người có thẩm quyền.</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b) Thực hiện đầu tư nâng cấp, mở rộng tài sản theo dự án được cơ quan, người có thẩm quyền phê duyệt</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c) Tháo dỡ một hay một số bộ phận tài sản kết cấu hạ tầng chợ (trong trường hợp giá trị bộ phận tài sản tháo dỡ đang được hạch toán chung trong nguyên giá tài sản kết cấu hạ tầng chợ), trừ trường hợp tháo dỡ khi bảo trì công trình</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d) Lắp đặt thêm một hay một số bộ phận tài sản kết cấu hạ tầng chợ, trừ trường hợp việc lắp đặt để thay thế khi bảo trì công trình</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 xml:space="preserve">đ) Bị mất một phần tài sản hoặc tài sản bị hư hỏng nghiêm trọng do thiên tai, sự cố bất khả kháng hoặc những tác động đột xuất khác (trừ trường hợp tài sản đã được khôi phục lại thông qua bảo hiểm, </w:t>
      </w:r>
      <w:r>
        <w:rPr>
          <w:rFonts w:cs="Times New Roman" w:ascii="Times New Roman" w:hAnsi="Times New Roman"/>
          <w:sz w:val="28"/>
          <w:szCs w:val="28"/>
        </w:rPr>
        <w:t>bồi thường thiệt hại của tổ chức, cá nhân có liên quan</w:t>
      </w:r>
      <w:r>
        <w:rPr>
          <w:rFonts w:eastAsia="Times New Roman" w:cs="Times New Roman" w:ascii="Times New Roman" w:hAnsi="Times New Roman"/>
          <w:sz w:val="28"/>
          <w:szCs w:val="28"/>
          <w:lang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b/>
          <w:sz w:val="28"/>
          <w:szCs w:val="28"/>
          <w:lang w:eastAsia="vi-VN"/>
        </w:rPr>
      </w:pPr>
      <w:r>
        <w:rPr>
          <w:rFonts w:eastAsia="Times New Roman" w:cs="Times New Roman" w:ascii="Times New Roman" w:hAnsi="Times New Roman"/>
          <w:b/>
          <w:sz w:val="28"/>
          <w:szCs w:val="28"/>
          <w:lang w:eastAsia="vi-VN"/>
        </w:rPr>
        <w:t xml:space="preserve">Điều 7. </w:t>
      </w:r>
      <w:r>
        <w:rPr>
          <w:rFonts w:eastAsia="Times New Roman" w:cs="Times New Roman" w:ascii="Times New Roman" w:hAnsi="Times New Roman"/>
          <w:b/>
          <w:bCs/>
          <w:sz w:val="28"/>
          <w:szCs w:val="28"/>
          <w:lang w:eastAsia="vi-VN"/>
        </w:rPr>
        <w:t>Xác định nguyên giá tài sản kết cấu hạ tầng chợ trong t</w:t>
      </w:r>
      <w:r>
        <w:rPr>
          <w:rFonts w:eastAsia="Times New Roman" w:cs="Times New Roman" w:ascii="Times New Roman" w:hAnsi="Times New Roman"/>
          <w:b/>
          <w:sz w:val="28"/>
          <w:szCs w:val="28"/>
          <w:lang w:eastAsia="vi-VN"/>
        </w:rPr>
        <w:t>rường hợp quy định tại điểm b4 khoản 1 Điều 6 Thông tư này</w:t>
      </w:r>
    </w:p>
    <w:p>
      <w:pPr>
        <w:pStyle w:val="Normal"/>
        <w:widowControl w:val="false"/>
        <w:shd w:fill="FFFFFF" w:val="clear"/>
        <w:spacing w:lineRule="auto" w:line="240" w:before="120" w:after="120"/>
        <w:ind w:firstLine="567" w:right="0"/>
        <w:jc w:val="both"/>
        <w:rPr>
          <w:rFonts w:ascii="Times New Roman" w:hAnsi="Times New Roman" w:cs="Times New Roman"/>
          <w:sz w:val="28"/>
          <w:szCs w:val="28"/>
          <w:shd w:fill="FFFFFF" w:val="clear"/>
        </w:rPr>
      </w:pPr>
      <w:r>
        <w:rPr>
          <w:rFonts w:eastAsia="Times New Roman" w:cs="Times New Roman" w:ascii="Times New Roman" w:hAnsi="Times New Roman"/>
          <w:sz w:val="28"/>
          <w:szCs w:val="28"/>
          <w:lang w:eastAsia="vi-VN"/>
        </w:rPr>
        <w:t>1. Cơ quan, đơn vị được giao quản lý tài sản kết cấu hạ tầng chợ</w:t>
      </w:r>
      <w:r>
        <w:rPr>
          <w:rFonts w:cs="Times New Roman" w:ascii="Times New Roman" w:hAnsi="Times New Roman"/>
          <w:sz w:val="28"/>
          <w:szCs w:val="28"/>
          <w:shd w:fill="FFFFFF" w:val="clear"/>
        </w:rPr>
        <w:t xml:space="preserve"> lựa chọn thuê doanh nghiệp thẩm định giá để tư vấn xác định giá trị tài sản theo Chuẩn mực thẩm định giá Việt Nam hoặc thành lập Hội đồng xác định giá </w:t>
      </w:r>
      <w:r>
        <w:rPr>
          <w:rFonts w:eastAsia="Times New Roman" w:cs="Times New Roman" w:ascii="Times New Roman" w:hAnsi="Times New Roman"/>
          <w:sz w:val="28"/>
          <w:szCs w:val="28"/>
          <w:lang w:eastAsia="vi-VN"/>
        </w:rPr>
        <w:t xml:space="preserve">để làm cơ sở đánh giá lại giá trị còn lại, thời gian tính hao mòn còn lại của tài sản. </w:t>
      </w:r>
      <w:r>
        <w:rPr>
          <w:rFonts w:cs="Times New Roman" w:ascii="Times New Roman" w:hAnsi="Times New Roman"/>
          <w:sz w:val="28"/>
          <w:szCs w:val="28"/>
          <w:shd w:fill="FFFFFF" w:val="clear"/>
        </w:rPr>
        <w:t>Việc sử dụng chứng thư thẩm định giá, báo cáo thẩm định giá được thực hiện theo quy định của pháp luật về giá.</w:t>
      </w:r>
    </w:p>
    <w:p>
      <w:pPr>
        <w:pStyle w:val="Normal"/>
        <w:widowControl w:val="false"/>
        <w:shd w:fill="FFFFFF" w:val="clear"/>
        <w:spacing w:lineRule="auto" w:line="240" w:before="0" w:after="0"/>
        <w:ind w:firstLine="567" w:right="0"/>
        <w:jc w:val="both"/>
        <w:rPr>
          <w:rFonts w:ascii="Times New Roman" w:hAnsi="Times New Roman" w:eastAsia="Times New Roman" w:cs="Times New Roman"/>
          <w:iCs/>
          <w:sz w:val="28"/>
          <w:szCs w:val="28"/>
          <w:lang w:val="en-US" w:eastAsia="vi-VN"/>
        </w:rPr>
      </w:pPr>
      <w:r>
        <w:rPr>
          <w:rFonts w:eastAsia="Times New Roman" w:cs="Times New Roman" w:ascii="Times New Roman" w:hAnsi="Times New Roman"/>
          <w:iCs/>
          <w:sz w:val="28"/>
          <w:szCs w:val="28"/>
          <w:lang w:eastAsia="vi-VN"/>
        </w:rPr>
        <w:t>Căn cứ chứng thư thẩm định giá, báo cáo thẩm định giá do doanh nghiệp thẩm định giá cung cấp</w:t>
      </w:r>
      <w:r>
        <w:rPr>
          <w:rFonts w:eastAsia="Times New Roman" w:cs="Times New Roman" w:ascii="Times New Roman" w:hAnsi="Times New Roman"/>
          <w:iCs/>
          <w:sz w:val="28"/>
          <w:szCs w:val="28"/>
          <w:lang w:val="en-US" w:eastAsia="vi-VN"/>
        </w:rPr>
        <w:t xml:space="preserve"> hoặc </w:t>
      </w:r>
      <w:r>
        <w:rPr>
          <w:rFonts w:eastAsia="Times New Roman" w:cs="Times New Roman" w:ascii="Times New Roman" w:hAnsi="Times New Roman"/>
          <w:iCs/>
          <w:sz w:val="28"/>
          <w:szCs w:val="28"/>
          <w:lang w:eastAsia="vi-VN"/>
        </w:rPr>
        <w:t xml:space="preserve">biên bản xác định giá của </w:t>
      </w:r>
      <w:r>
        <w:rPr>
          <w:rFonts w:cs="Times New Roman" w:ascii="Times New Roman" w:hAnsi="Times New Roman"/>
          <w:iCs/>
          <w:sz w:val="28"/>
          <w:szCs w:val="28"/>
          <w:shd w:fill="FFFFFF" w:val="clear"/>
        </w:rPr>
        <w:t>Hội đồng xác định giá</w:t>
      </w:r>
      <w:r>
        <w:rPr>
          <w:rFonts w:eastAsia="Times New Roman" w:cs="Times New Roman" w:ascii="Times New Roman" w:hAnsi="Times New Roman"/>
          <w:iCs/>
          <w:sz w:val="28"/>
          <w:szCs w:val="28"/>
          <w:lang w:eastAsia="vi-VN"/>
        </w:rPr>
        <w:t xml:space="preserve"> và </w:t>
      </w:r>
      <w:r>
        <w:rPr>
          <w:rFonts w:cs="Times New Roman" w:ascii="Times New Roman" w:hAnsi="Times New Roman"/>
          <w:iCs/>
          <w:sz w:val="28"/>
          <w:szCs w:val="28"/>
          <w:shd w:fill="FFFFFF" w:val="clear"/>
        </w:rPr>
        <w:t xml:space="preserve">đặc điểm, tình trạng của tài sản kết cấu hạ tầng chợ, cơ quan, đơn vị có tài sản </w:t>
      </w:r>
      <w:r>
        <w:rPr>
          <w:rFonts w:eastAsia="Times New Roman" w:cs="Times New Roman" w:ascii="Times New Roman" w:hAnsi="Times New Roman"/>
          <w:iCs/>
          <w:sz w:val="28"/>
          <w:szCs w:val="28"/>
          <w:lang w:eastAsia="vi-VN"/>
        </w:rPr>
        <w:t>xác định nguyên giá tài sản kết cấu hạ tầng chợ như sau:</w:t>
      </w:r>
    </w:p>
    <w:p>
      <w:pPr>
        <w:pStyle w:val="Normal"/>
        <w:widowControl w:val="false"/>
        <w:shd w:fill="FFFFFF" w:val="clear"/>
        <w:spacing w:lineRule="auto" w:line="240" w:before="0" w:after="0"/>
        <w:ind w:firstLine="567" w:right="0"/>
        <w:jc w:val="both"/>
        <w:rPr>
          <w:rFonts w:ascii="Times New Roman" w:hAnsi="Times New Roman" w:eastAsia="Times New Roman" w:cs="Times New Roman"/>
          <w:iCs/>
          <w:sz w:val="14"/>
          <w:szCs w:val="14"/>
          <w:lang w:val="en-US" w:eastAsia="vi-VN"/>
        </w:rPr>
      </w:pPr>
      <w:r>
        <w:rPr>
          <w:rFonts w:eastAsia="Times New Roman" w:cs="Times New Roman" w:ascii="Times New Roman" w:hAnsi="Times New Roman"/>
          <w:iCs/>
          <w:sz w:val="14"/>
          <w:szCs w:val="14"/>
          <w:lang w:val="en-US" w:eastAsia="vi-VN"/>
        </w:rPr>
      </w:r>
    </w:p>
    <w:tbl>
      <w:tblPr>
        <w:tblW w:w="5000" w:type="pct"/>
        <w:jc w:val="center"/>
        <w:tblInd w:w="0" w:type="dxa"/>
        <w:tblLayout w:type="fixed"/>
        <w:tblCellMar>
          <w:top w:w="0" w:type="dxa"/>
          <w:left w:w="108" w:type="dxa"/>
          <w:bottom w:w="0" w:type="dxa"/>
          <w:right w:w="108" w:type="dxa"/>
        </w:tblCellMar>
      </w:tblPr>
      <w:tblGrid>
        <w:gridCol w:w="1821"/>
        <w:gridCol w:w="355"/>
        <w:gridCol w:w="1396"/>
        <w:gridCol w:w="338"/>
        <w:gridCol w:w="5160"/>
      </w:tblGrid>
      <w:tr>
        <w:trPr/>
        <w:tc>
          <w:tcPr>
            <w:tcW w:w="1821" w:type="dxa"/>
            <w:vMerge w:val="restart"/>
            <w:tcBorders/>
            <w:shd w:fill="FFFFFF" w:val="clear"/>
          </w:tcPr>
          <w:p>
            <w:pPr>
              <w:pStyle w:val="Normal"/>
              <w:widowControl w:val="false"/>
              <w:spacing w:lineRule="auto" w:line="240" w:before="120" w:after="120"/>
              <w:jc w:val="center"/>
              <w:rPr>
                <w:rFonts w:ascii="Times New Roman" w:hAnsi="Times New Roman" w:eastAsia="Times New Roman" w:cs="Times New Roman"/>
                <w:iCs/>
                <w:sz w:val="26"/>
                <w:szCs w:val="26"/>
                <w:lang w:val="en-US" w:eastAsia="vi-VN"/>
              </w:rPr>
            </w:pPr>
            <w:r>
              <w:rPr>
                <w:rFonts w:eastAsia="Times New Roman" w:cs="Times New Roman" w:ascii="Times New Roman" w:hAnsi="Times New Roman"/>
                <w:iCs/>
                <w:sz w:val="26"/>
                <w:szCs w:val="26"/>
                <w:lang w:eastAsia="vi-VN"/>
              </w:rPr>
              <w:t>Nguyên giá tài sản kết cấu hạ tầng chợ</w:t>
            </w:r>
            <w:r>
              <w:rPr>
                <w:rFonts w:eastAsia="Times New Roman" w:cs="Times New Roman" w:ascii="Times New Roman" w:hAnsi="Times New Roman"/>
                <w:iCs/>
                <w:sz w:val="26"/>
                <w:szCs w:val="26"/>
                <w:lang w:val="en-US" w:eastAsia="vi-VN"/>
              </w:rPr>
              <w:t xml:space="preserve"> (đồng)</w:t>
            </w:r>
          </w:p>
        </w:tc>
        <w:tc>
          <w:tcPr>
            <w:tcW w:w="355" w:type="dxa"/>
            <w:vMerge w:val="restart"/>
            <w:tcBorders/>
            <w:shd w:fill="FFFFFF" w:val="clear"/>
          </w:tcPr>
          <w:p>
            <w:pPr>
              <w:pStyle w:val="Normal"/>
              <w:widowControl w:val="false"/>
              <w:snapToGrid w:val="false"/>
              <w:spacing w:lineRule="auto" w:line="240" w:before="120" w:after="120"/>
              <w:jc w:val="center"/>
              <w:rPr>
                <w:rFonts w:ascii="Times New Roman" w:hAnsi="Times New Roman" w:eastAsia="Times New Roman" w:cs="Times New Roman"/>
                <w:iCs/>
                <w:sz w:val="26"/>
                <w:szCs w:val="26"/>
                <w:lang w:val="en-US" w:eastAsia="vi-VN"/>
              </w:rPr>
            </w:pPr>
            <w:r>
              <w:rPr>
                <w:rFonts w:eastAsia="Times New Roman" w:cs="Times New Roman" w:ascii="Times New Roman" w:hAnsi="Times New Roman"/>
                <w:iCs/>
                <w:sz w:val="26"/>
                <w:szCs w:val="26"/>
                <w:lang w:val="en-US" w:eastAsia="vi-VN"/>
              </w:rPr>
            </w:r>
          </w:p>
          <w:p>
            <w:pPr>
              <w:pStyle w:val="Normal"/>
              <w:widowControl w:val="false"/>
              <w:spacing w:lineRule="auto" w:line="240" w:before="120" w:after="120"/>
              <w:jc w:val="center"/>
              <w:rPr>
                <w:rFonts w:ascii="Times New Roman" w:hAnsi="Times New Roman" w:eastAsia="Times New Roman" w:cs="Times New Roman"/>
                <w:iCs/>
                <w:sz w:val="26"/>
                <w:szCs w:val="26"/>
                <w:lang w:val="en-US" w:eastAsia="vi-VN"/>
              </w:rPr>
            </w:pPr>
            <w:r>
              <w:rPr>
                <w:rFonts w:eastAsia="Times New Roman" w:cs="Times New Roman" w:ascii="Times New Roman" w:hAnsi="Times New Roman"/>
                <w:iCs/>
                <w:sz w:val="26"/>
                <w:szCs w:val="26"/>
                <w:lang w:val="en-US" w:eastAsia="vi-VN"/>
              </w:rPr>
              <w:t>=</w:t>
            </w:r>
          </w:p>
        </w:tc>
        <w:tc>
          <w:tcPr>
            <w:tcW w:w="1396" w:type="dxa"/>
            <w:vMerge w:val="restart"/>
            <w:tcBorders/>
            <w:shd w:fill="FFFFFF" w:val="clear"/>
          </w:tcPr>
          <w:p>
            <w:pPr>
              <w:pStyle w:val="Normal"/>
              <w:widowControl w:val="false"/>
              <w:spacing w:lineRule="auto" w:line="240" w:before="120" w:after="120"/>
              <w:jc w:val="center"/>
              <w:rPr/>
            </w:pPr>
            <w:r>
              <w:rPr>
                <w:rFonts w:eastAsia="Times New Roman" w:cs="Times New Roman" w:ascii="Times New Roman" w:hAnsi="Times New Roman"/>
                <w:iCs/>
                <w:sz w:val="26"/>
                <w:szCs w:val="26"/>
                <w:lang w:eastAsia="vi-VN"/>
              </w:rPr>
              <w:t>Giá trị đánh giá lại của tài sản</w:t>
            </w:r>
            <w:r>
              <w:rPr>
                <w:rFonts w:eastAsia="Times New Roman" w:cs="Times New Roman" w:ascii="Times New Roman" w:hAnsi="Times New Roman"/>
                <w:iCs/>
                <w:sz w:val="26"/>
                <w:szCs w:val="26"/>
                <w:lang w:val="en-US" w:eastAsia="vi-VN"/>
              </w:rPr>
              <w:t xml:space="preserve"> (đồng)</w:t>
            </w:r>
            <w:r>
              <w:rPr>
                <w:rFonts w:eastAsia="Times New Roman" w:cs="Times New Roman" w:ascii="Times New Roman" w:hAnsi="Times New Roman"/>
                <w:iCs/>
                <w:sz w:val="26"/>
                <w:szCs w:val="26"/>
                <w:lang w:eastAsia="vi-VN"/>
              </w:rPr>
              <w:t xml:space="preserve"> </w:t>
            </w:r>
          </w:p>
        </w:tc>
        <w:tc>
          <w:tcPr>
            <w:tcW w:w="338" w:type="dxa"/>
            <w:vMerge w:val="restart"/>
            <w:tcBorders/>
            <w:shd w:fill="FFFFFF" w:val="clear"/>
          </w:tcPr>
          <w:p>
            <w:pPr>
              <w:pStyle w:val="Normal"/>
              <w:widowControl w:val="false"/>
              <w:snapToGrid w:val="false"/>
              <w:spacing w:lineRule="auto" w:line="240" w:before="120" w:after="120"/>
              <w:jc w:val="center"/>
              <w:rPr>
                <w:rFonts w:ascii="Times New Roman" w:hAnsi="Times New Roman" w:eastAsia="Times New Roman" w:cs="Times New Roman"/>
                <w:iCs/>
                <w:sz w:val="26"/>
                <w:szCs w:val="26"/>
                <w:lang w:val="en-US" w:eastAsia="vi-VN"/>
              </w:rPr>
            </w:pPr>
            <w:r>
              <w:rPr>
                <w:rFonts w:eastAsia="Times New Roman" w:cs="Times New Roman" w:ascii="Times New Roman" w:hAnsi="Times New Roman"/>
                <w:iCs/>
                <w:sz w:val="26"/>
                <w:szCs w:val="26"/>
                <w:lang w:val="en-US" w:eastAsia="vi-VN"/>
              </w:rPr>
            </w:r>
          </w:p>
          <w:p>
            <w:pPr>
              <w:pStyle w:val="Normal"/>
              <w:widowControl w:val="false"/>
              <w:spacing w:lineRule="auto" w:line="240" w:before="120" w:after="120"/>
              <w:jc w:val="center"/>
              <w:rPr>
                <w:rFonts w:ascii="Times New Roman" w:hAnsi="Times New Roman" w:eastAsia="Times New Roman" w:cs="Times New Roman"/>
                <w:iCs/>
                <w:sz w:val="26"/>
                <w:szCs w:val="26"/>
                <w:lang w:val="en-US" w:eastAsia="vi-VN"/>
              </w:rPr>
            </w:pPr>
            <w:r>
              <w:rPr>
                <w:rFonts w:eastAsia="Times New Roman" w:cs="Times New Roman" w:ascii="Times New Roman" w:hAnsi="Times New Roman"/>
                <w:iCs/>
                <w:sz w:val="26"/>
                <w:szCs w:val="26"/>
                <w:lang w:val="en-US" w:eastAsia="vi-VN"/>
              </w:rPr>
              <w:t>x</w:t>
            </w:r>
          </w:p>
        </w:tc>
        <w:tc>
          <w:tcPr>
            <w:tcW w:w="5160" w:type="dxa"/>
            <w:tcBorders/>
            <w:shd w:fill="FFFFFF" w:val="clear"/>
            <w:vAlign w:val="center"/>
          </w:tcPr>
          <w:p>
            <w:pPr>
              <w:pStyle w:val="Normal"/>
              <w:widowControl w:val="false"/>
              <w:spacing w:lineRule="auto" w:line="240" w:before="0" w:after="0"/>
              <w:jc w:val="center"/>
              <w:rPr/>
            </w:pPr>
            <w:r>
              <w:rPr>
                <w:rFonts w:eastAsia="Times New Roman" w:cs="Times New Roman" w:ascii="Times New Roman" w:hAnsi="Times New Roman"/>
                <w:iCs/>
                <w:sz w:val="26"/>
                <w:szCs w:val="26"/>
                <w:lang w:eastAsia="vi-VN"/>
              </w:rPr>
              <w:t>Thời gian tính hao mòn của tài sản theo quy định tại Điều 10 Thông tư này (năm)</w:t>
            </w:r>
          </w:p>
        </w:tc>
      </w:tr>
      <w:tr>
        <w:trPr/>
        <w:tc>
          <w:tcPr>
            <w:tcW w:w="1821" w:type="dxa"/>
            <w:vMerge w:val="continue"/>
            <w:tcBorders/>
            <w:shd w:fill="FFFFFF" w:val="clear"/>
          </w:tcPr>
          <w:p>
            <w:pPr>
              <w:pStyle w:val="Normal"/>
              <w:widowControl w:val="false"/>
              <w:snapToGrid w:val="false"/>
              <w:spacing w:lineRule="auto" w:line="240" w:before="0" w:after="0"/>
              <w:ind w:firstLine="567" w:right="0"/>
              <w:jc w:val="center"/>
              <w:rPr>
                <w:rFonts w:ascii="Times New Roman" w:hAnsi="Times New Roman" w:eastAsia="Times New Roman" w:cs="Times New Roman"/>
                <w:iCs/>
                <w:sz w:val="26"/>
                <w:szCs w:val="26"/>
                <w:lang w:eastAsia="vi-VN"/>
              </w:rPr>
            </w:pPr>
            <w:r>
              <w:rPr>
                <w:rFonts w:eastAsia="Times New Roman" w:cs="Times New Roman" w:ascii="Times New Roman" w:hAnsi="Times New Roman"/>
                <w:iCs/>
                <w:sz w:val="26"/>
                <w:szCs w:val="26"/>
                <w:lang w:eastAsia="vi-VN"/>
              </w:rPr>
            </w:r>
          </w:p>
        </w:tc>
        <w:tc>
          <w:tcPr>
            <w:tcW w:w="355" w:type="dxa"/>
            <w:vMerge w:val="continue"/>
            <w:tcBorders/>
            <w:shd w:fill="FFFFFF" w:val="clear"/>
          </w:tcPr>
          <w:p>
            <w:pPr>
              <w:pStyle w:val="Normal"/>
              <w:widowControl w:val="false"/>
              <w:snapToGrid w:val="false"/>
              <w:spacing w:lineRule="auto" w:line="240" w:before="0" w:after="0"/>
              <w:ind w:firstLine="567" w:right="0"/>
              <w:jc w:val="center"/>
              <w:rPr>
                <w:rFonts w:ascii="Times New Roman" w:hAnsi="Times New Roman" w:eastAsia="Times New Roman" w:cs="Times New Roman"/>
                <w:iCs/>
                <w:sz w:val="26"/>
                <w:szCs w:val="26"/>
                <w:lang w:eastAsia="vi-VN"/>
              </w:rPr>
            </w:pPr>
            <w:r>
              <w:rPr>
                <w:rFonts w:eastAsia="Times New Roman" w:cs="Times New Roman" w:ascii="Times New Roman" w:hAnsi="Times New Roman"/>
                <w:iCs/>
                <w:sz w:val="26"/>
                <w:szCs w:val="26"/>
                <w:lang w:eastAsia="vi-VN"/>
              </w:rPr>
            </w:r>
          </w:p>
        </w:tc>
        <w:tc>
          <w:tcPr>
            <w:tcW w:w="1396" w:type="dxa"/>
            <w:vMerge w:val="continue"/>
            <w:tcBorders/>
            <w:shd w:fill="FFFFFF" w:val="clear"/>
          </w:tcPr>
          <w:p>
            <w:pPr>
              <w:pStyle w:val="Normal"/>
              <w:widowControl w:val="false"/>
              <w:snapToGrid w:val="false"/>
              <w:spacing w:lineRule="auto" w:line="240" w:before="0" w:after="0"/>
              <w:ind w:firstLine="567" w:right="0"/>
              <w:jc w:val="center"/>
              <w:rPr>
                <w:rFonts w:ascii="Times New Roman" w:hAnsi="Times New Roman" w:eastAsia="Times New Roman" w:cs="Times New Roman"/>
                <w:iCs/>
                <w:sz w:val="26"/>
                <w:szCs w:val="26"/>
                <w:lang w:eastAsia="vi-VN"/>
              </w:rPr>
            </w:pPr>
            <w:r>
              <w:rPr>
                <w:rFonts w:eastAsia="Times New Roman" w:cs="Times New Roman" w:ascii="Times New Roman" w:hAnsi="Times New Roman"/>
                <w:iCs/>
                <w:sz w:val="26"/>
                <w:szCs w:val="26"/>
                <w:lang w:eastAsia="vi-VN"/>
              </w:rPr>
            </w:r>
          </w:p>
        </w:tc>
        <w:tc>
          <w:tcPr>
            <w:tcW w:w="338" w:type="dxa"/>
            <w:vMerge w:val="continue"/>
            <w:tcBorders/>
            <w:shd w:fill="FFFFFF" w:val="clear"/>
          </w:tcPr>
          <w:p>
            <w:pPr>
              <w:pStyle w:val="Normal"/>
              <w:widowControl w:val="false"/>
              <w:snapToGrid w:val="false"/>
              <w:spacing w:lineRule="auto" w:line="240" w:before="0" w:after="0"/>
              <w:ind w:firstLine="567" w:right="0"/>
              <w:jc w:val="both"/>
              <w:rPr>
                <w:rFonts w:ascii="Times New Roman" w:hAnsi="Times New Roman" w:eastAsia="Times New Roman" w:cs="Times New Roman"/>
                <w:iCs/>
                <w:sz w:val="26"/>
                <w:szCs w:val="26"/>
                <w:lang w:eastAsia="vi-VN"/>
              </w:rPr>
            </w:pPr>
            <w:r>
              <w:rPr>
                <w:rFonts w:eastAsia="Times New Roman" w:cs="Times New Roman" w:ascii="Times New Roman" w:hAnsi="Times New Roman"/>
                <w:iCs/>
                <w:sz w:val="26"/>
                <w:szCs w:val="26"/>
                <w:lang w:eastAsia="vi-VN"/>
              </w:rPr>
            </w:r>
          </w:p>
        </w:tc>
        <w:tc>
          <w:tcPr>
            <w:tcW w:w="5160" w:type="dxa"/>
            <w:tcBorders/>
            <w:shd w:fill="FFFFFF" w:val="clear"/>
            <w:vAlign w:val="center"/>
          </w:tcPr>
          <w:p>
            <w:pPr>
              <w:pStyle w:val="Normal"/>
              <w:widowControl w:val="false"/>
              <w:spacing w:lineRule="auto" w:line="240" w:before="120" w:after="120"/>
              <w:jc w:val="center"/>
              <w:rPr>
                <w:rFonts w:ascii="Times New Roman" w:hAnsi="Times New Roman" w:eastAsia="Times New Roman" w:cs="Times New Roman"/>
                <w:iCs/>
                <w:sz w:val="26"/>
                <w:szCs w:val="26"/>
                <w:lang w:eastAsia="vi-VN"/>
              </w:rPr>
            </w:pPr>
            <w:r>
              <mc:AlternateContent>
                <mc:Choice Requires="wps">
                  <w:drawing>
                    <wp:anchor behindDoc="0" distT="0" distB="0" distL="114935" distR="114935" simplePos="0" locked="0" layoutInCell="1" allowOverlap="1" relativeHeight="6">
                      <wp:simplePos x="0" y="0"/>
                      <wp:positionH relativeFrom="column">
                        <wp:posOffset>60325</wp:posOffset>
                      </wp:positionH>
                      <wp:positionV relativeFrom="paragraph">
                        <wp:posOffset>39370</wp:posOffset>
                      </wp:positionV>
                      <wp:extent cx="3075305" cy="1270"/>
                      <wp:effectExtent l="635" t="5080" r="635" b="5080"/>
                      <wp:wrapNone/>
                      <wp:docPr id="6" name=""/>
                      <a:graphic xmlns:a="http://schemas.openxmlformats.org/drawingml/2006/main">
                        <a:graphicData uri="http://schemas.microsoft.com/office/word/2010/wordprocessingShape">
                          <wps:wsp>
                            <wps:cNvCnPr/>
                            <wps:spPr>
                              <a:xfrm>
                                <a:off x="0" y="0"/>
                                <a:ext cx="307548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4.75pt;margin-top:3.1pt;width:242.1pt;height:0.1pt" type="_x0000_t32">
                      <v:stroke color="black" weight="9360" joinstyle="miter" endcap="flat"/>
                      <v:fill o:detectmouseclick="t" on="false"/>
                      <w10:wrap type="none"/>
                    </v:shape>
                  </w:pict>
                </mc:Fallback>
              </mc:AlternateContent>
            </w:r>
            <w:r>
              <w:rPr>
                <w:rFonts w:eastAsia="Times New Roman" w:cs="Times New Roman" w:ascii="Times New Roman" w:hAnsi="Times New Roman"/>
                <w:iCs/>
                <w:sz w:val="26"/>
                <w:szCs w:val="26"/>
                <w:lang w:eastAsia="vi-VN"/>
              </w:rPr>
              <w:t>Thời gian tính hao mòn còn lại của tài sản (năm)</w:t>
            </w:r>
          </w:p>
        </w:tc>
      </w:tr>
    </w:tbl>
    <w:p>
      <w:pPr>
        <w:pStyle w:val="Normal"/>
        <w:widowControl w:val="false"/>
        <w:shd w:fill="FFFFFF" w:val="clear"/>
        <w:spacing w:lineRule="auto" w:line="240" w:before="120" w:after="120"/>
        <w:ind w:firstLine="567" w:right="0"/>
        <w:jc w:val="both"/>
        <w:rPr>
          <w:rFonts w:ascii="Times New Roman" w:hAnsi="Times New Roman" w:cs="Times New Roman"/>
          <w:sz w:val="28"/>
          <w:szCs w:val="28"/>
          <w:shd w:fill="FFFFFF" w:val="clear"/>
        </w:rPr>
      </w:pPr>
      <w:r>
        <w:rPr>
          <w:rFonts w:cs="Times New Roman" w:ascii="Times New Roman" w:hAnsi="Times New Roman"/>
          <w:sz w:val="28"/>
          <w:szCs w:val="28"/>
          <w:shd w:fill="FFFFFF" w:val="clear"/>
        </w:rPr>
        <w:t>2. Hội đồng xác định giá do Thủ trưởng cơ quan, đơn vị có tài sản quyết định thành lập. Thành phần Hội đồng xác định giá gồm: Thủ trưởng cơ quan, đơn vị có tài sản hoặc người được ủy quyền làm Chủ tịch; các thành viên khác gồm: đại diện các bộ phận chuyên môn liên quan của cơ quan, đơn vị có tài sản; đại diện các cơ quan khác có liên quan (nếu có).</w:t>
      </w:r>
      <w:r>
        <w:rPr>
          <w:rFonts w:eastAsia="Times New Roman" w:cs="Times New Roman" w:ascii="Times New Roman" w:hAnsi="Times New Roman"/>
          <w:sz w:val="28"/>
          <w:szCs w:val="28"/>
          <w:lang w:eastAsia="vi-VN"/>
        </w:rPr>
        <w:t xml:space="preserve"> </w:t>
      </w:r>
    </w:p>
    <w:p>
      <w:pPr>
        <w:pStyle w:val="Normal"/>
        <w:widowControl w:val="false"/>
        <w:shd w:fill="FFFFFF" w:val="clear"/>
        <w:spacing w:lineRule="auto" w:line="240" w:before="120" w:after="120"/>
        <w:ind w:firstLine="567" w:right="0"/>
        <w:jc w:val="both"/>
        <w:rPr>
          <w:rFonts w:ascii="Times New Roman" w:hAnsi="Times New Roman" w:cs="Times New Roman"/>
          <w:sz w:val="28"/>
          <w:szCs w:val="28"/>
        </w:rPr>
      </w:pPr>
      <w:r>
        <w:rPr>
          <w:rFonts w:eastAsia="Times New Roman" w:cs="Times New Roman" w:ascii="Times New Roman" w:hAnsi="Times New Roman"/>
          <w:sz w:val="28"/>
          <w:szCs w:val="28"/>
          <w:lang w:eastAsia="vi-VN"/>
        </w:rPr>
        <w:t xml:space="preserve">Hội đồng </w:t>
      </w:r>
      <w:r>
        <w:rPr>
          <w:rFonts w:cs="Times New Roman" w:ascii="Times New Roman" w:hAnsi="Times New Roman"/>
          <w:sz w:val="28"/>
          <w:szCs w:val="28"/>
          <w:shd w:fill="FFFFFF" w:val="clear"/>
        </w:rPr>
        <w:t xml:space="preserve">xác định giá </w:t>
      </w:r>
      <w:r>
        <w:rPr>
          <w:rFonts w:eastAsia="Times New Roman" w:cs="Times New Roman" w:ascii="Times New Roman" w:hAnsi="Times New Roman"/>
          <w:sz w:val="28"/>
          <w:szCs w:val="28"/>
          <w:lang w:eastAsia="vi-VN"/>
        </w:rPr>
        <w:t>căn cứ phương pháp định giá chung đối với hàng hóa, dịch vụ do Nhà nước định giá để làm cơ sở đánh giá lại giá trị tài sản</w:t>
      </w:r>
      <w:r>
        <w:rPr>
          <w:rFonts w:cs="Times New Roman" w:ascii="Times New Roman" w:hAnsi="Times New Roman"/>
          <w:sz w:val="28"/>
          <w:szCs w:val="28"/>
        </w:rPr>
        <w:t xml:space="preserve">. </w:t>
      </w:r>
    </w:p>
    <w:p>
      <w:pPr>
        <w:pStyle w:val="Normal"/>
        <w:widowControl w:val="false"/>
        <w:shd w:fill="FFFFFF" w:val="clear"/>
        <w:spacing w:lineRule="auto" w:line="240" w:before="120" w:after="120"/>
        <w:ind w:firstLine="567" w:right="0"/>
        <w:jc w:val="both"/>
        <w:rPr>
          <w:rFonts w:ascii="Times New Roman" w:hAnsi="Times New Roman" w:cs="Times New Roman"/>
          <w:sz w:val="28"/>
          <w:szCs w:val="28"/>
        </w:rPr>
      </w:pPr>
      <w:r>
        <w:rPr>
          <w:rFonts w:cs="Times New Roman" w:ascii="Times New Roman" w:hAnsi="Times New Roman"/>
          <w:sz w:val="28"/>
          <w:szCs w:val="28"/>
        </w:rPr>
        <w:t>Nguyên tắc hoạt động của Hội đồng xác định giá như sau:</w:t>
      </w:r>
    </w:p>
    <w:p>
      <w:pPr>
        <w:pStyle w:val="Normal"/>
        <w:widowControl w:val="false"/>
        <w:shd w:fill="FFFFFF" w:val="clear"/>
        <w:spacing w:lineRule="auto" w:line="240" w:before="120" w:after="120"/>
        <w:ind w:firstLine="567" w:right="0"/>
        <w:jc w:val="both"/>
        <w:rPr>
          <w:rFonts w:ascii="Times New Roman" w:hAnsi="Times New Roman" w:cs="Times New Roman"/>
          <w:sz w:val="28"/>
          <w:szCs w:val="28"/>
          <w:lang w:val="en-US"/>
        </w:rPr>
      </w:pPr>
      <w:r>
        <w:rPr>
          <w:rFonts w:cs="Times New Roman" w:ascii="Times New Roman" w:hAnsi="Times New Roman"/>
          <w:sz w:val="28"/>
          <w:szCs w:val="28"/>
        </w:rPr>
        <w:t>a) Hội đồng làm việc theo nguyên tắc tập thể. Phiên họp để xác định giá trị tài sản chỉ được tiến hành khi có mặt ít nhất 2/3 số lượng thành viên của Hội đồng trở lên tham dự; trường hợp Hội đồng chỉ có 03 thành viên thì phiên họp phải có mặt đủ 03 thành viên. Chủ tịch Hội đồng điều hành phiên họp để xác định giá trị tài sản. Trước khi tiến hành phiên họp, những thành viên vắng mặt phải có văn bản gửi tới Chủ tịch Hội đồng nêu rõ lý do vắng mặt; có ý kiến về các vấn đề liên quan đến giá trị tài sản (nếu có)</w:t>
      </w:r>
      <w:r>
        <w:rPr>
          <w:rFonts w:cs="Times New Roman" w:ascii="Times New Roman" w:hAnsi="Times New Roman"/>
          <w:sz w:val="28"/>
          <w:szCs w:val="28"/>
          <w:lang w:val="en-US"/>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cs="Times New Roman" w:ascii="Times New Roman" w:hAnsi="Times New Roman"/>
          <w:sz w:val="28"/>
          <w:szCs w:val="28"/>
        </w:rPr>
        <w:t>b) Hội đồng kết luận về giá trị tài sản theo ý kiến đa số đã được biểu quyết và thông qua của thành viên hội đồng có mặt tại phiên họp. Trong trường hợp có ý kiến ngang nhau thì bên có biểu quyết của Chủ tịch Hội đồng là ý kiến quyết định. Thành viên của Hội đồng có quyền bảo lưu ý kiến của mình nếu không đồng ý với kết luận về giá trị của tài sản do Hội đồng quyết định; ý kiến bảo lưu đó được ghi vào Biên bản xác định giá trị tài sản</w:t>
      </w:r>
      <w:r>
        <w:rPr>
          <w:rFonts w:cs="Times New Roman" w:ascii="Times New Roman" w:hAnsi="Times New Roman"/>
          <w:sz w:val="28"/>
          <w:szCs w:val="28"/>
          <w:lang w:val="en-US"/>
        </w:rPr>
        <w:t>.</w:t>
      </w:r>
    </w:p>
    <w:p>
      <w:pPr>
        <w:pStyle w:val="NormalWeb"/>
        <w:widowControl w:val="false"/>
        <w:shd w:fill="FFFFFF" w:val="clear"/>
        <w:spacing w:before="120" w:after="120"/>
        <w:ind w:firstLine="567" w:right="0"/>
        <w:jc w:val="both"/>
        <w:rPr>
          <w:sz w:val="28"/>
          <w:szCs w:val="28"/>
        </w:rPr>
      </w:pPr>
      <w:r>
        <w:rPr>
          <w:sz w:val="28"/>
          <w:szCs w:val="28"/>
        </w:rPr>
        <w:t>c) Hội đồng phải lập Biên bản về việc xác định giá trị tài sản, phản ánh đầy đủ và trung thực toàn bộ quá trình xác định giá trị tài sản. Biên bản phải được lưu trong hồ sơ xác định giá trị tài sản.</w:t>
      </w:r>
    </w:p>
    <w:p>
      <w:pPr>
        <w:pStyle w:val="NormalWeb"/>
        <w:widowControl w:val="false"/>
        <w:shd w:fill="FFFFFF" w:val="clear"/>
        <w:spacing w:before="120" w:after="120"/>
        <w:ind w:firstLine="567" w:right="0"/>
        <w:jc w:val="both"/>
        <w:rPr>
          <w:sz w:val="28"/>
          <w:szCs w:val="28"/>
        </w:rPr>
      </w:pPr>
      <w:r>
        <w:rPr>
          <w:sz w:val="28"/>
          <w:szCs w:val="28"/>
        </w:rPr>
        <w:t>Nội dung chính của Biên bản xác định giá trị tài sản gồm: Họ, tên Chủ tịch Hội đồng và các thành viên của Hội đồng; họ, tên những người tham dự phiên họp xác định giá trị tài sản; thời gian, địa điểm tiến hành việc xác định giá trị tài sản; kết quả khảo sát giá trị của tài sản; ý kiến của các thành viên của Hội đồng và những người tham dự phiên họp xác định giá trị tài sản; kết quả biểu quyết của Hội đồng; thời gian, địa điểm hoàn thành việc xác định giá trị tài sản; chữ ký của các thành viên của Hội đồng.</w:t>
      </w:r>
    </w:p>
    <w:p>
      <w:pPr>
        <w:pStyle w:val="NormalWeb"/>
        <w:widowControl w:val="false"/>
        <w:shd w:fill="FFFFFF" w:val="clear"/>
        <w:spacing w:before="120" w:after="120"/>
        <w:ind w:firstLine="567" w:right="0"/>
        <w:jc w:val="both"/>
        <w:rPr/>
      </w:pPr>
      <w:r>
        <w:rPr>
          <w:sz w:val="28"/>
          <w:szCs w:val="28"/>
        </w:rPr>
        <w:t>Hội đồng xác định giá quy định tại khoản này chấm dứt hoạt động sau khi hoàn thành nhiệm vụ quy định tại Quyết định thành lập hội đồng. Các nội dung phát sinh sau khi hội đồng chấm dứt hoạt động sẽ do cơ quan, đơn vị có tài sản xử lý.</w:t>
      </w:r>
    </w:p>
    <w:p>
      <w:pPr>
        <w:pStyle w:val="Normal"/>
        <w:widowControl w:val="false"/>
        <w:numPr>
          <w:ilvl w:val="0"/>
          <w:numId w:val="0"/>
        </w:numPr>
        <w:shd w:fill="FFFFFF" w:val="clear"/>
        <w:spacing w:lineRule="auto" w:line="240" w:before="120" w:after="120"/>
        <w:ind w:firstLine="567" w:right="0"/>
        <w:jc w:val="both"/>
        <w:outlineLvl w:val="0"/>
        <w:rPr>
          <w:rFonts w:ascii="Times New Roman" w:hAnsi="Times New Roman" w:eastAsia="Times New Roman" w:cs="Times New Roman"/>
          <w:b/>
          <w:bCs/>
          <w:sz w:val="28"/>
          <w:szCs w:val="28"/>
          <w:lang w:eastAsia="vi-VN"/>
        </w:rPr>
      </w:pPr>
      <w:bookmarkStart w:id="22" w:name="dieu_6"/>
      <w:r>
        <w:rPr>
          <w:rFonts w:eastAsia="Times New Roman" w:cs="Times New Roman" w:ascii="Times New Roman" w:hAnsi="Times New Roman"/>
          <w:b/>
          <w:bCs/>
          <w:sz w:val="28"/>
          <w:szCs w:val="28"/>
          <w:lang w:eastAsia="vi-VN"/>
        </w:rPr>
        <w:t>Điều 8. Xác định nguyên giá tài sản kết cấu hạ tầng chợ trong trường hợp thay đổi nguyên giá tài sản</w:t>
      </w:r>
      <w:bookmarkEnd w:id="22"/>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Khi phát sinh việc thay đổi nguyên giá tài sản kết cấu hạ tầng chợ trong các trường hợp quy định tại khoản 5 Điều 5, </w:t>
      </w:r>
      <w:bookmarkStart w:id="23" w:name="tc_11"/>
      <w:r>
        <w:rPr>
          <w:rFonts w:eastAsia="Times New Roman" w:cs="Times New Roman" w:ascii="Times New Roman" w:hAnsi="Times New Roman"/>
          <w:sz w:val="28"/>
          <w:szCs w:val="28"/>
          <w:lang w:eastAsia="vi-VN"/>
        </w:rPr>
        <w:t>khoản 7 Điều 6 Thông tư này</w:t>
      </w:r>
      <w:bookmarkEnd w:id="23"/>
      <w:r>
        <w:rPr>
          <w:rFonts w:eastAsia="Times New Roman" w:cs="Times New Roman" w:ascii="Times New Roman" w:hAnsi="Times New Roman"/>
          <w:sz w:val="28"/>
          <w:szCs w:val="28"/>
          <w:lang w:eastAsia="vi-VN"/>
        </w:rPr>
        <w:t>, cơ quan, đơn vị được giao quản lý tài sản kết cấu hạ tầng chợ thực hiện lập Biên bản ghi rõ lý do (trường hợp) thay đổi nguyên giá; đồng thời xác định lại chỉ tiêu nguyên giá của tài sản kết cấu hạ tầng chợ làm cơ sở xác định mức hao mòn, khấu hao, giá trị còn lại của tài sản để điều chỉnh sổ kế toán và thực hiện việc quản lý, tính hao mòn, trích khấu hao tài sản theo quy định tại Thông tư này.</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Việc xác định lại nguyên giá tài sản kết cấu hạ tầng chợ đối với các trường hợp thay đổi nguyên giá được thực hiện như sau:</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1. Đối với tài sản là quyền sử dụng đất quy định tại khoản 5 Điều 5 Thông tư này</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 xml:space="preserve">a) Trường hợp điều chỉnh bảng giá đất theo định kỳ quy định tại điểm a khoản 5 Điều 5 Thông tư này và </w:t>
      </w:r>
      <w:r>
        <w:rPr>
          <w:rFonts w:eastAsia="Times New Roman" w:cs="Times New Roman" w:ascii="Times New Roman" w:hAnsi="Times New Roman"/>
          <w:sz w:val="28"/>
          <w:szCs w:val="28"/>
        </w:rPr>
        <w:t>trường hợp điều chỉnh cho phù hợp với tình hình thực tế theo quy định của pháp luật đất đai thì xác định lại nguyên giá</w:t>
      </w:r>
      <w:r>
        <w:rPr>
          <w:rFonts w:eastAsia="Times New Roman" w:cs="Times New Roman" w:ascii="Times New Roman" w:hAnsi="Times New Roman"/>
          <w:sz w:val="28"/>
          <w:szCs w:val="28"/>
          <w:lang w:eastAsia="vi-VN"/>
        </w:rPr>
        <w:t xml:space="preserve"> tài sản là quyền sử dụng đất theo bảng giá đất các năm điều chỉnh</w:t>
      </w:r>
      <w:r>
        <w:rPr>
          <w:rFonts w:eastAsia="Times New Roman" w:cs="Times New Roman" w:ascii="Times New Roman" w:hAnsi="Times New Roman"/>
          <w:sz w:val="28"/>
          <w:szCs w:val="28"/>
        </w:rPr>
        <w:t>; việc xác định lại nguyên giá</w:t>
      </w:r>
      <w:r>
        <w:rPr>
          <w:rFonts w:eastAsia="Times New Roman" w:cs="Times New Roman" w:ascii="Times New Roman" w:hAnsi="Times New Roman"/>
          <w:sz w:val="28"/>
          <w:szCs w:val="28"/>
          <w:lang w:eastAsia="vi-VN"/>
        </w:rPr>
        <w:t xml:space="preserve"> tài sản là quyền sử dụng đất thực hiện theo quy định tại Điều 5 Thông tư này</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 xml:space="preserve">b) Trường hợp diện tích đất có thay đổi so với diện tích đất đã xác định nguyên giá theo quy định tại điểm b khoản 5 Điều 5 Thông tư này </w:t>
      </w:r>
      <w:r>
        <w:rPr>
          <w:rFonts w:eastAsia="Times New Roman" w:cs="Times New Roman" w:ascii="Times New Roman" w:hAnsi="Times New Roman"/>
          <w:sz w:val="28"/>
          <w:szCs w:val="28"/>
        </w:rPr>
        <w:t>thì nguyên giá</w:t>
      </w:r>
      <w:r>
        <w:rPr>
          <w:rFonts w:eastAsia="Times New Roman" w:cs="Times New Roman" w:ascii="Times New Roman" w:hAnsi="Times New Roman"/>
          <w:sz w:val="28"/>
          <w:szCs w:val="28"/>
          <w:lang w:eastAsia="vi-VN"/>
        </w:rPr>
        <w:t xml:space="preserve"> tài sản là quyền sử dụng đất </w:t>
      </w:r>
      <w:r>
        <w:rPr>
          <w:rFonts w:eastAsia="Times New Roman" w:cs="Times New Roman" w:ascii="Times New Roman" w:hAnsi="Times New Roman"/>
          <w:sz w:val="28"/>
          <w:szCs w:val="28"/>
        </w:rPr>
        <w:t xml:space="preserve">xác định lại </w:t>
      </w:r>
      <w:r>
        <w:rPr>
          <w:rFonts w:eastAsia="Times New Roman" w:cs="Times New Roman" w:ascii="Times New Roman" w:hAnsi="Times New Roman"/>
          <w:sz w:val="28"/>
          <w:szCs w:val="28"/>
          <w:lang w:eastAsia="vi-VN"/>
        </w:rPr>
        <w:t>bằng (=) nguyên giá tài sản là quyền sử dụng đất đã hạch toán cộng (+) hoặc trừ (-) giá trị quyền sử dụng đất tăng thêm hoặc giảm đi. Giá trị quyền sử dụng đất tăng thêm hoặc giảm đi</w:t>
      </w:r>
      <w:r>
        <w:rPr>
          <w:rFonts w:eastAsia="Times New Roman" w:cs="Times New Roman" w:ascii="Times New Roman" w:hAnsi="Times New Roman"/>
          <w:sz w:val="28"/>
          <w:szCs w:val="28"/>
        </w:rPr>
        <w:t xml:space="preserve"> xác định </w:t>
      </w:r>
      <w:r>
        <w:rPr>
          <w:rFonts w:eastAsia="Times New Roman" w:cs="Times New Roman" w:ascii="Times New Roman" w:hAnsi="Times New Roman"/>
          <w:sz w:val="28"/>
          <w:szCs w:val="28"/>
          <w:lang w:eastAsia="vi-VN"/>
        </w:rPr>
        <w:t>theo quy định tại Điều 5 Thông tư này</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 xml:space="preserve">c) Trường hợp thay đổi hình thức sử dụng đất theo quyết định của cơ quan nhà nước có thẩm quyền quy định tại điểm c khoản 5 Điều 5 Thông tư này thì </w:t>
      </w:r>
      <w:r>
        <w:rPr>
          <w:rFonts w:eastAsia="Times New Roman" w:cs="Times New Roman" w:ascii="Times New Roman" w:hAnsi="Times New Roman"/>
          <w:sz w:val="28"/>
          <w:szCs w:val="28"/>
        </w:rPr>
        <w:t>xác định lại nguyên giá</w:t>
      </w:r>
      <w:r>
        <w:rPr>
          <w:rFonts w:eastAsia="Times New Roman" w:cs="Times New Roman" w:ascii="Times New Roman" w:hAnsi="Times New Roman"/>
          <w:sz w:val="28"/>
          <w:szCs w:val="28"/>
          <w:lang w:eastAsia="vi-VN"/>
        </w:rPr>
        <w:t xml:space="preserve"> tài sản là quyền sử dụng đất tương ứng với hình thức sử dụng đất mới theo quy định tại Điều 5 Thông tư này</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 xml:space="preserve">d) Trường hợp khi kiểm kê, đánh giá lại giá trị quyền sử dụng đất theo quyết định của cơ quan, người có thẩm quyền quy định tại điểm d khoản 5 Điều 5 Thông tư này thì </w:t>
      </w:r>
      <w:r>
        <w:rPr>
          <w:rFonts w:eastAsia="Times New Roman" w:cs="Times New Roman" w:ascii="Times New Roman" w:hAnsi="Times New Roman"/>
          <w:sz w:val="28"/>
          <w:szCs w:val="28"/>
        </w:rPr>
        <w:t>xác định lại nguyên giá</w:t>
      </w:r>
      <w:r>
        <w:rPr>
          <w:rFonts w:eastAsia="Times New Roman" w:cs="Times New Roman" w:ascii="Times New Roman" w:hAnsi="Times New Roman"/>
          <w:sz w:val="28"/>
          <w:szCs w:val="28"/>
          <w:lang w:eastAsia="vi-VN"/>
        </w:rPr>
        <w:t xml:space="preserve"> tài sản là quyền sử dụng đất theo hướng dẫn của cơ quan, người có thẩm quyền.</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2. Đối với trường hợp quy định tại </w:t>
      </w:r>
      <w:bookmarkStart w:id="24" w:name="tc_13"/>
      <w:r>
        <w:rPr>
          <w:rFonts w:eastAsia="Times New Roman" w:cs="Times New Roman" w:ascii="Times New Roman" w:hAnsi="Times New Roman"/>
          <w:sz w:val="28"/>
          <w:szCs w:val="28"/>
          <w:lang w:eastAsia="vi-VN"/>
        </w:rPr>
        <w:t>điểm a khoản 7 Điều 6 Thông tư này</w:t>
      </w:r>
      <w:bookmarkEnd w:id="24"/>
      <w:r>
        <w:rPr>
          <w:rFonts w:eastAsia="Times New Roman" w:cs="Times New Roman" w:ascii="Times New Roman" w:hAnsi="Times New Roman"/>
          <w:sz w:val="28"/>
          <w:szCs w:val="28"/>
          <w:lang w:eastAsia="vi-VN"/>
        </w:rPr>
        <w:t> thì nguyên giá tài sản kết cấu hạ tầng chợ được xác định lại theo hướng dẫn của cơ quan, người có thẩm quyền về kiểm kê, đánh giá lại tài sản.</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3. Đối với trường hợp quy định tại </w:t>
      </w:r>
      <w:bookmarkStart w:id="25" w:name="tc_14"/>
      <w:r>
        <w:rPr>
          <w:rFonts w:eastAsia="Times New Roman" w:cs="Times New Roman" w:ascii="Times New Roman" w:hAnsi="Times New Roman"/>
          <w:sz w:val="28"/>
          <w:szCs w:val="28"/>
          <w:lang w:eastAsia="vi-VN"/>
        </w:rPr>
        <w:t>điểm b khoản 7 Điều 6 Thông tư này</w:t>
      </w:r>
      <w:bookmarkEnd w:id="25"/>
      <w:r>
        <w:rPr>
          <w:rFonts w:eastAsia="Times New Roman" w:cs="Times New Roman" w:ascii="Times New Roman" w:hAnsi="Times New Roman"/>
          <w:sz w:val="28"/>
          <w:szCs w:val="28"/>
          <w:lang w:eastAsia="vi-VN"/>
        </w:rPr>
        <w:t> thì nguyên giá tài sản kết cấu hạ tầng chợ được xác định lại bằng (=) nguyên giá đang hạch toán cộng (+) phần giá trị tăng thêm do đầu tư nâng cấp, mở rộng tài sản kết cấu hạ tầng chợ. Trong đó, phần giá trị tăng thêm do đầu tư nâng cấp, mở rộng tài sản kết cấu hạ tầng chợ là giá trị quyết toán được cơ quan, người có thẩm quyền phê duyệt theo quy định của pháp luật; trường hợp chưa có quyết toán được cơ quan, người có thẩm quyền phê duyệt thì cơ quan, đơn vị được giao quản lý tài sản kết cấu hạ tầng chợ thực hiện ghi sổ kế toán đối với phần giá trị tăng thêm do đầu tư nâng cấp, mở rộng tài sản kết cấu hạ tầng chợ kể từ ngày bàn giao đưa vào sử dụng. Phần giá trị tăng thêm trong nguyên giá ghi sổ kế toán là giá trị tạm tính, được lựa chọn theo thứ tự ưu tiên sau:</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Giá trị thẩm tra quyết toán</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Giá trị đề nghị phê duyệt quyết toán</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ascii="Times New Roman" w:hAnsi="Times New Roman" w:cs="Times New Roman"/>
          <w:sz w:val="28"/>
          <w:szCs w:val="28"/>
          <w:lang w:val="en-US"/>
        </w:rPr>
      </w:pPr>
      <w:r>
        <w:rPr>
          <w:rFonts w:cs="Times New Roman" w:ascii="Times New Roman" w:hAnsi="Times New Roman"/>
          <w:sz w:val="28"/>
          <w:szCs w:val="28"/>
        </w:rPr>
        <w:t>Bảng tính giá trị quyết toán hợp đồng giữa chủ đầu tư và nhà thầu (quyết toán A-B)</w:t>
      </w:r>
      <w:r>
        <w:rPr>
          <w:rFonts w:cs="Times New Roman" w:ascii="Times New Roman" w:hAnsi="Times New Roman"/>
          <w:sz w:val="28"/>
          <w:szCs w:val="28"/>
          <w:lang w:val="en-US"/>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cs="Times New Roman" w:ascii="Times New Roman" w:hAnsi="Times New Roman"/>
          <w:sz w:val="28"/>
          <w:szCs w:val="28"/>
        </w:rPr>
        <w:t>Giá trị dự toán được phê duyệt hoặc điều chỉnh lần gần nhất</w:t>
      </w:r>
      <w:r>
        <w:rPr>
          <w:rFonts w:eastAsia="Times New Roman" w:cs="Times New Roman" w:ascii="Times New Roman" w:hAnsi="Times New Roman"/>
          <w:sz w:val="28"/>
          <w:szCs w:val="28"/>
          <w:lang w:eastAsia="vi-VN"/>
        </w:rPr>
        <w:t xml:space="preserve"> (trong trường hợp dự toán dự án được điều chỉnh</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cs="Times New Roman" w:ascii="Times New Roman" w:hAnsi="Times New Roman"/>
          <w:sz w:val="28"/>
          <w:szCs w:val="28"/>
        </w:rPr>
        <w:t>Giá trị tổng mức đầu tư được phê duyệt hoặc điều chỉnh lần gần nhất (trong trường hợp tổng mức đầu tư được điều chỉnh).</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Khi được cơ quan, người có thẩm quyền phê duyệt quyết toán, cơ quan, đơn vị được giao quản lý tài sản kết cấu hạ tầng chợ thực hiện điều chỉnh lại phần giá trị tăng thêm trong nguyên giá trên sổ kế toán theo giá trị quyết toán được phê duyệt để điều chỉnh sổ kế toán và thực hiện kế toán tài sản theo quy định.</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Trường hợp dự án được cơ quan, người có thẩm quyền phê duyệt để đầu tư xây dựng, nâng cấp, mở rộng tài sản khác (không thuộc tài sản kết cấu hạ tầng chợ nhưng trong dự án có nội dung đầu tư vào tài sản kết cấu hạ tầng chợ) thì phần giá trị tăng thêm do đầu tư nâng cấp, mở rộng tài sản kết cấu hạ tầng chợ là phần giá trị đầu tư vào tài sản kết cấu hạ tầng chợ trong giá trị quyết toán của dự án được cơ quan, người có thẩm quyền phê duyệt.</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4. Đối với trường hợp tháo dỡ một hay một số bộ phận tài sản kết cấu hạ tầng chợ quy định tại </w:t>
      </w:r>
      <w:bookmarkStart w:id="26" w:name="tc_15"/>
      <w:r>
        <w:rPr>
          <w:rFonts w:eastAsia="Times New Roman" w:cs="Times New Roman" w:ascii="Times New Roman" w:hAnsi="Times New Roman"/>
          <w:sz w:val="28"/>
          <w:szCs w:val="28"/>
          <w:lang w:eastAsia="vi-VN"/>
        </w:rPr>
        <w:t>điểm c khoản 7 Điều 6 Thông tư này</w:t>
      </w:r>
      <w:bookmarkEnd w:id="26"/>
      <w:r>
        <w:rPr>
          <w:rFonts w:eastAsia="Times New Roman" w:cs="Times New Roman" w:ascii="Times New Roman" w:hAnsi="Times New Roman"/>
          <w:sz w:val="28"/>
          <w:szCs w:val="28"/>
          <w:lang w:eastAsia="vi-VN"/>
        </w:rPr>
        <w:t> thì nguyên giá tài sản kết cấu hạ tầng chợ được xác định lại bằng (=) nguyên giá đang hạch toán trừ (-) phần giá trị của bộ phận tài sản kết cấu hạ tầng chợ tháo dỡ cộng (+) chi phí hợp lý liên quan trực tiếp đến việc tháo dỡ mà cơ quan, đơn vị được giao quản lý tài sản kết cấu hạ tầng chợ đã chi ra tính đến thời điểm hoàn thành việc tháo dỡ.</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Trong đó, phần giá trị của bộ phận tài sản kết cấu hạ tầng chợ tháo dỡ được xác định như sau:</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a) Trường hợp có hồ sơ xác định giá mua, giá trị quyết toán/giá trị dự toán của bộ phận tài sản kết cấu hạ tầng chợ tháo dỡ thì phần giá trị của bộ phận tài sản tháo dỡ được xác định theo giá mua, giá trị quyết toán</w:t>
      </w:r>
      <w:r>
        <w:rPr>
          <w:rFonts w:eastAsia="Times New Roman" w:cs="Times New Roman" w:ascii="Times New Roman" w:hAnsi="Times New Roman"/>
          <w:sz w:val="28"/>
          <w:szCs w:val="28"/>
          <w:lang w:val="en-US" w:eastAsia="vi-VN"/>
        </w:rPr>
        <w:t xml:space="preserve"> hoặc </w:t>
      </w:r>
      <w:r>
        <w:rPr>
          <w:rFonts w:eastAsia="Times New Roman" w:cs="Times New Roman" w:ascii="Times New Roman" w:hAnsi="Times New Roman"/>
          <w:sz w:val="28"/>
          <w:szCs w:val="28"/>
          <w:lang w:eastAsia="vi-VN"/>
        </w:rPr>
        <w:t>giá trị dự toán của bộ phận tài sản tháo dỡ đó</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b) Trường hợp không có hồ sơ quy định tại điểm a khoản này nhưng phân bổ được nguyên giá của tài sản kết cấu hạ tầng chợ cho bộ phận tài sản tháo dỡ theo tiêu chí phù hợp (như: diện tích xây dựng, số lượng, giá mua, dự toán...) thì phần giá trị của bộ phận tài sản kết cấu hạ tầng chợ tháo dỡ được xác định theo giá trị phân bổ</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c) Trường hợp không có hồ sơ quy định tại điểm a, điểm b khoản này và không phân bổ được nguyên giá của tài sản kết cấu hạ tầng chợ cho bộ phận tài sản tháo dỡ thì xác định phần giá trị của bộ phận tài sản kết cấu hạ tầng chợ tháo dỡ là giá</w:t>
      </w:r>
      <w:r>
        <w:rPr>
          <w:rFonts w:eastAsia="Times New Roman" w:cs="Times New Roman" w:ascii="Times New Roman" w:hAnsi="Times New Roman"/>
          <w:i/>
          <w:sz w:val="28"/>
          <w:szCs w:val="28"/>
          <w:lang w:eastAsia="vi-VN"/>
        </w:rPr>
        <w:t xml:space="preserve"> </w:t>
      </w:r>
      <w:r>
        <w:rPr>
          <w:rFonts w:eastAsia="Times New Roman" w:cs="Times New Roman" w:ascii="Times New Roman" w:hAnsi="Times New Roman"/>
          <w:sz w:val="28"/>
          <w:szCs w:val="28"/>
          <w:lang w:eastAsia="vi-VN"/>
        </w:rPr>
        <w:t>mua mới của bộ phận tài sản kết cấu hạ tầng chợ tháo dỡ trên thị trường tại thời điểm đưa tài sản vào sử dụng.</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 xml:space="preserve">Trường hợp không xác định được giá mua mới của bộ phận tài sản kết cấu hạ tầng chợ tháo dỡ trên thị trường tại thời điểm đưa tài sản vào sử dụng thì cơ quan, đơn vị được giao quản lý tài sản kết cấu hạ tầng chợ </w:t>
      </w:r>
      <w:r>
        <w:rPr>
          <w:rFonts w:cs="Times New Roman" w:ascii="Times New Roman" w:hAnsi="Times New Roman"/>
          <w:sz w:val="28"/>
          <w:szCs w:val="28"/>
          <w:shd w:fill="FFFFFF" w:val="clear"/>
        </w:rPr>
        <w:t>lựa chọn thuê doanh nghiệp thẩm định giá để tư vấn xác định giá trị tài sản theo Chuẩn mực thẩm định giá Việt Nam hoặc thành lập Hội đồng xác định giá theo quy định tại Điều 7 Thông tư này làm cơ sở</w:t>
      </w:r>
      <w:r>
        <w:rPr>
          <w:rFonts w:eastAsia="Times New Roman" w:cs="Times New Roman" w:ascii="Times New Roman" w:hAnsi="Times New Roman"/>
          <w:sz w:val="28"/>
          <w:szCs w:val="28"/>
          <w:lang w:eastAsia="vi-VN"/>
        </w:rPr>
        <w:t xml:space="preserve"> để xác định phần giá trị của bộ phận tài sản kết cấu hạ tầng chợ tháo dỡ làm căn cứ xác định nguyên giá tài sản sau khi tháo dỡ.</w:t>
      </w:r>
      <w:r>
        <w:rPr>
          <w:rFonts w:cs="Times New Roman" w:ascii="Times New Roman" w:hAnsi="Times New Roman"/>
          <w:sz w:val="28"/>
          <w:szCs w:val="28"/>
          <w:shd w:fill="FFFFFF" w:val="clear"/>
        </w:rPr>
        <w:t xml:space="preserve"> </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5. Đối với trường hợp lắp đặt thêm một hay một số bộ phận tài sản kết cấu hạ tầng chợ quy định tại </w:t>
      </w:r>
      <w:bookmarkStart w:id="27" w:name="tc_16"/>
      <w:r>
        <w:rPr>
          <w:rFonts w:eastAsia="Times New Roman" w:cs="Times New Roman" w:ascii="Times New Roman" w:hAnsi="Times New Roman"/>
          <w:sz w:val="28"/>
          <w:szCs w:val="28"/>
          <w:lang w:eastAsia="vi-VN"/>
        </w:rPr>
        <w:t>điểm d khoản 7 Điều 6 Thông tư này</w:t>
      </w:r>
      <w:bookmarkEnd w:id="27"/>
      <w:r>
        <w:rPr>
          <w:rFonts w:eastAsia="Times New Roman" w:cs="Times New Roman" w:ascii="Times New Roman" w:hAnsi="Times New Roman"/>
          <w:sz w:val="28"/>
          <w:szCs w:val="28"/>
          <w:lang w:eastAsia="vi-VN"/>
        </w:rPr>
        <w:t> thì nguyên giá tài sản kết cấu hạ tầng chợ được xác định lại bằng (=) nguyên giá đang hạch toán cộng (+) phần giá trị tăng thêm do lắp đặt thêm một hay một số bộ phận tài sản kết cấu hạ tầng chợ (+) chi phí hợp lý liên quan trực tiếp đến việc lắp đặt mà cơ quan, đơn vị được giao quản lý tài sản kết cấu hạ tầng chợ đã chi ra tính đến thời điểm hoàn thành việc lắp đặt.</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Trong đó, phần giá trị tăng thêm do lắp đặt thêm một hay một số bộ phận tài sản kết cấu hạ tầng chợ là giá trị tương ứng của bộ phận tài sản được lắp đặt thêm được xác định theo các trường hợp tương ứng quy định tại </w:t>
      </w:r>
      <w:bookmarkStart w:id="28" w:name="tc_17"/>
      <w:r>
        <w:rPr>
          <w:rFonts w:eastAsia="Times New Roman" w:cs="Times New Roman" w:ascii="Times New Roman" w:hAnsi="Times New Roman"/>
          <w:sz w:val="28"/>
          <w:szCs w:val="28"/>
          <w:lang w:eastAsia="vi-VN"/>
        </w:rPr>
        <w:t>Điều 6 Thông tư này</w:t>
      </w:r>
      <w:bookmarkEnd w:id="28"/>
      <w:r>
        <w:rPr>
          <w:rFonts w:eastAsia="Times New Roman" w:cs="Times New Roman" w:ascii="Times New Roman" w:hAnsi="Times New Roman"/>
          <w:sz w:val="28"/>
          <w:szCs w:val="28"/>
          <w:lang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6. Đối với trường hợp quy định tại </w:t>
      </w:r>
      <w:bookmarkStart w:id="29" w:name="tc_18"/>
      <w:r>
        <w:rPr>
          <w:rFonts w:eastAsia="Times New Roman" w:cs="Times New Roman" w:ascii="Times New Roman" w:hAnsi="Times New Roman"/>
          <w:sz w:val="28"/>
          <w:szCs w:val="28"/>
          <w:lang w:eastAsia="vi-VN"/>
        </w:rPr>
        <w:t>điểm đ khoản 7 Điều 6 Thông tư này</w:t>
      </w:r>
      <w:bookmarkEnd w:id="29"/>
      <w:r>
        <w:rPr>
          <w:rFonts w:eastAsia="Times New Roman" w:cs="Times New Roman" w:ascii="Times New Roman" w:hAnsi="Times New Roman"/>
          <w:sz w:val="28"/>
          <w:szCs w:val="28"/>
          <w:lang w:eastAsia="vi-VN"/>
        </w:rPr>
        <w:t xml:space="preserve"> thì cơ quan, đơn vị được giao quản lý tài sản kết cấu hạ tầng chợ </w:t>
      </w:r>
      <w:r>
        <w:rPr>
          <w:rFonts w:cs="Times New Roman" w:ascii="Times New Roman" w:hAnsi="Times New Roman"/>
          <w:sz w:val="28"/>
          <w:szCs w:val="28"/>
          <w:shd w:fill="FFFFFF" w:val="clear"/>
        </w:rPr>
        <w:t>lựa chọn thuê doanh nghiệp thẩm định giá để tư vấn xác định giá trị tài sản theo Chuẩn mực thẩm định giá Việt Nam hoặc thành lập Hội đồng xác định giá theo quy định tại Điều 7 Thông tư này làm cơ sở</w:t>
      </w:r>
      <w:r>
        <w:rPr>
          <w:rFonts w:eastAsia="Times New Roman" w:cs="Times New Roman" w:ascii="Times New Roman" w:hAnsi="Times New Roman"/>
          <w:sz w:val="28"/>
          <w:szCs w:val="28"/>
          <w:lang w:eastAsia="vi-VN"/>
        </w:rPr>
        <w:t xml:space="preserve"> để đánh giá lại giá trị còn lại, thời gian tính hao mòn còn lại của tài sản.</w:t>
      </w:r>
    </w:p>
    <w:p>
      <w:pPr>
        <w:pStyle w:val="Normal"/>
        <w:widowControl w:val="false"/>
        <w:numPr>
          <w:ilvl w:val="0"/>
          <w:numId w:val="0"/>
        </w:numPr>
        <w:shd w:fill="FFFFFF" w:val="clear"/>
        <w:spacing w:lineRule="auto" w:line="240" w:before="120" w:after="120"/>
        <w:ind w:firstLine="567" w:right="0"/>
        <w:jc w:val="both"/>
        <w:outlineLvl w:val="0"/>
        <w:rPr>
          <w:rFonts w:ascii="Times New Roman" w:hAnsi="Times New Roman" w:eastAsia="Times New Roman" w:cs="Times New Roman"/>
          <w:sz w:val="28"/>
          <w:szCs w:val="28"/>
          <w:lang w:eastAsia="vi-VN"/>
        </w:rPr>
      </w:pPr>
      <w:bookmarkStart w:id="30" w:name="dieu_7"/>
      <w:r>
        <w:rPr>
          <w:rFonts w:eastAsia="Times New Roman" w:cs="Times New Roman" w:ascii="Times New Roman" w:hAnsi="Times New Roman"/>
          <w:b/>
          <w:bCs/>
          <w:sz w:val="28"/>
          <w:szCs w:val="28"/>
          <w:lang w:eastAsia="vi-VN"/>
        </w:rPr>
        <w:t>Điều 9. Nguyên tắc tính hao mòn, trích khấu hao tài sản kết cấu hạ tầng chợ</w:t>
      </w:r>
      <w:bookmarkEnd w:id="30"/>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 xml:space="preserve">1. Tài sản kết cấu hạ tầng chợ là tài sản cố định được giao cho cơ quan, đơn vị quản lý phải tính hao mòn theo quy định tại Thông tư này, trừ các trường hợp quy định tại khoản 2, khoản 3 Điều này. </w:t>
      </w:r>
    </w:p>
    <w:p>
      <w:pPr>
        <w:pStyle w:val="Normal"/>
        <w:widowControl w:val="false"/>
        <w:spacing w:lineRule="auto" w:line="240" w:before="120" w:after="120"/>
        <w:ind w:firstLine="567" w:right="0"/>
        <w:jc w:val="both"/>
        <w:rPr/>
      </w:pPr>
      <w:r>
        <w:rPr>
          <w:rFonts w:eastAsia="Times New Roman" w:cs="Times New Roman" w:ascii="Times New Roman" w:hAnsi="Times New Roman"/>
          <w:sz w:val="28"/>
          <w:szCs w:val="28"/>
          <w:lang w:eastAsia="vi-VN"/>
        </w:rPr>
        <w:t>2. Tài sản kết cấu hạ tầng chợ phải trích khấu hao gồm:</w:t>
      </w:r>
    </w:p>
    <w:p>
      <w:pPr>
        <w:pStyle w:val="Normal"/>
        <w:widowControl w:val="false"/>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a) Tài sản kết cấu hạ tầng chợ giao cho đơn vị sự nghiệp công lập tự bảo đảm chi thường xuyên và chi đầu tư quản lý</w:t>
      </w:r>
      <w:r>
        <w:rPr>
          <w:rFonts w:eastAsia="Times New Roman" w:cs="Times New Roman" w:ascii="Times New Roman" w:hAnsi="Times New Roman"/>
          <w:sz w:val="28"/>
          <w:szCs w:val="28"/>
          <w:lang w:val="en-US" w:eastAsia="vi-VN"/>
        </w:rPr>
        <w:t>.</w:t>
      </w:r>
    </w:p>
    <w:p>
      <w:pPr>
        <w:pStyle w:val="Normal"/>
        <w:widowControl w:val="false"/>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b) Tài sản kết cấu hạ tầng chợ giao cho đơn vị sự nghiệp công lập thuộc đối tượng phải kết cấu chi phí khấu hao tài sản cố định vào giá dịch vụ cho thuê theo quy định của pháp luật.</w:t>
      </w:r>
    </w:p>
    <w:p>
      <w:pPr>
        <w:pStyle w:val="Normal"/>
        <w:widowControl w:val="false"/>
        <w:spacing w:lineRule="auto" w:line="240" w:before="120" w:after="120"/>
        <w:ind w:firstLine="567" w:right="0"/>
        <w:jc w:val="both"/>
        <w:rPr>
          <w:rFonts w:ascii="Times New Roman" w:hAnsi="Times New Roman" w:eastAsia="Times New Roman" w:cs="Times New Roman"/>
          <w:sz w:val="28"/>
          <w:szCs w:val="28"/>
          <w:lang w:eastAsia="vi-VN"/>
        </w:rPr>
      </w:pPr>
      <w:r>
        <w:rPr>
          <w:rFonts w:cs="Times New Roman" w:ascii="Times New Roman" w:hAnsi="Times New Roman"/>
          <w:sz w:val="28"/>
          <w:szCs w:val="28"/>
        </w:rPr>
        <w:t xml:space="preserve">Căn cứ quy định của pháp luật và tình hình thực tế của từng thời kỳ, trên cơ sở báo cáo của đơn vị được giao tài sản kết cấu hạ tầng chợ, ý kiến của cơ quan tài chính cùng cấp và ý kiến của cơ quan, đơn vị có liên quan (nếu có), </w:t>
      </w:r>
      <w:r>
        <w:rPr>
          <w:rFonts w:cs="Times New Roman" w:ascii="Times New Roman" w:hAnsi="Times New Roman"/>
          <w:sz w:val="28"/>
          <w:szCs w:val="28"/>
          <w:lang w:val="af-ZA"/>
        </w:rPr>
        <w:t>cơ quan chuyên môn về tài sản kết cấu hạ tầng chợ cấp tỉnh báo cáo Ủy ban nhân dân cấp tỉnh, cơ quan chuyên môn về tài sản kết cấu hạ tầng chợ cấp huyện báo cáo Ủy ban nhân dân cấp huyện</w:t>
      </w:r>
      <w:r>
        <w:rPr>
          <w:rFonts w:cs="Times New Roman" w:ascii="Times New Roman" w:hAnsi="Times New Roman"/>
          <w:sz w:val="28"/>
          <w:szCs w:val="28"/>
        </w:rPr>
        <w:t xml:space="preserve"> xem xét, quyết định </w:t>
      </w:r>
      <w:r>
        <w:rPr>
          <w:rFonts w:eastAsia="Times New Roman" w:cs="Times New Roman" w:ascii="Times New Roman" w:hAnsi="Times New Roman"/>
          <w:sz w:val="28"/>
          <w:szCs w:val="28"/>
          <w:lang w:eastAsia="vi-VN"/>
        </w:rPr>
        <w:t xml:space="preserve">đơn vị sự nghiệp công lập được kết cấu chi phí khấu hao tài sản kết cấu hạ tầng chợ vào giá dịch vụ </w:t>
      </w:r>
      <w:r>
        <w:rPr>
          <w:rFonts w:cs="Times New Roman" w:ascii="Times New Roman" w:hAnsi="Times New Roman"/>
          <w:sz w:val="28"/>
          <w:szCs w:val="28"/>
        </w:rPr>
        <w:t>quy định tại điểm này.</w:t>
      </w:r>
    </w:p>
    <w:p>
      <w:pPr>
        <w:pStyle w:val="Normal"/>
        <w:widowControl w:val="false"/>
        <w:spacing w:lineRule="auto" w:line="240" w:before="120" w:after="120"/>
        <w:ind w:firstLine="567" w:right="0"/>
        <w:jc w:val="both"/>
        <w:rPr>
          <w:rFonts w:ascii="Times New Roman" w:hAnsi="Times New Roman" w:cs="Times New Roman"/>
          <w:sz w:val="28"/>
          <w:szCs w:val="28"/>
        </w:rPr>
      </w:pPr>
      <w:r>
        <w:rPr>
          <w:rFonts w:eastAsia="Times New Roman" w:cs="Times New Roman" w:ascii="Times New Roman" w:hAnsi="Times New Roman"/>
          <w:sz w:val="28"/>
          <w:szCs w:val="28"/>
          <w:lang w:eastAsia="vi-VN"/>
        </w:rPr>
        <w:t>3. Cơ quan, đơn vị được giao quản lý tài sản kết cấu hạ tầng chợ không phải tính hao mòn, trích khấu hao đối với các trường hợp sau đây:</w:t>
      </w:r>
    </w:p>
    <w:p>
      <w:pPr>
        <w:pStyle w:val="Normal"/>
        <w:widowControl w:val="false"/>
        <w:spacing w:lineRule="auto" w:line="240" w:before="120" w:after="120"/>
        <w:ind w:firstLine="567" w:right="0"/>
        <w:jc w:val="both"/>
        <w:rPr>
          <w:rFonts w:ascii="Times New Roman" w:hAnsi="Times New Roman" w:cs="Times New Roman"/>
          <w:sz w:val="28"/>
          <w:szCs w:val="28"/>
          <w:lang w:val="en-US"/>
        </w:rPr>
      </w:pPr>
      <w:r>
        <w:rPr>
          <w:rFonts w:eastAsia="Times New Roman" w:cs="Times New Roman" w:ascii="Times New Roman" w:hAnsi="Times New Roman"/>
          <w:sz w:val="28"/>
          <w:szCs w:val="28"/>
          <w:lang w:eastAsia="vi-VN"/>
        </w:rPr>
        <w:t>a) Tài sản chưa tính đủ hao mòn, chưa khấu hao hết giá trị nhưng đã bị hư hỏng không thể sửa chữa để sử dụng được</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b) Tài sản đã tính đủ hao mòn, khấu hao hết giá trị nhưng vẫn còn sử dụng được</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c) Tài sản trong thời gian chuyển nhượng có thời hạn quyền khai thác</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d) Tài sản là quyền sử dụng đất.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4. Căn cứ tính hao mòn, trích khấu hao tài sản kết cấu hạ tầng chợ:</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a) Đối tượng ghi sổ kế toán (Hệ thống tài sản kết cấu hạ tầng chợ</w:t>
      </w:r>
      <w:r>
        <w:rPr>
          <w:rFonts w:eastAsia="Times New Roman" w:cs="Times New Roman" w:ascii="Times New Roman" w:hAnsi="Times New Roman"/>
          <w:sz w:val="28"/>
          <w:szCs w:val="28"/>
          <w:lang w:val="en-US" w:eastAsia="vi-VN"/>
        </w:rPr>
        <w:t xml:space="preserve"> hoặc </w:t>
      </w:r>
      <w:r>
        <w:rPr>
          <w:rFonts w:eastAsia="Times New Roman" w:cs="Times New Roman" w:ascii="Times New Roman" w:hAnsi="Times New Roman"/>
          <w:sz w:val="28"/>
          <w:szCs w:val="28"/>
          <w:lang w:eastAsia="vi-VN"/>
        </w:rPr>
        <w:t>từng tài sản độc lập)</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b) Thời gian tính hao mòn, trích khấu hao tài sản và tỷ lệ hao mòn, khấu hao, trong đó</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b1) Thời gian, tỷ lệ hao mòn và phương pháp tính hao mòn thực hiện theo quy định tại Điều 10</w:t>
      </w:r>
      <w:r>
        <w:rPr>
          <w:rFonts w:eastAsia="Times New Roman" w:cs="Times New Roman" w:ascii="Times New Roman" w:hAnsi="Times New Roman"/>
          <w:sz w:val="28"/>
          <w:szCs w:val="28"/>
          <w:lang w:val="en-US" w:eastAsia="vi-VN"/>
        </w:rPr>
        <w:t>, 11</w:t>
      </w:r>
      <w:r>
        <w:rPr>
          <w:rFonts w:eastAsia="Times New Roman" w:cs="Times New Roman" w:ascii="Times New Roman" w:hAnsi="Times New Roman"/>
          <w:sz w:val="28"/>
          <w:szCs w:val="28"/>
          <w:lang w:eastAsia="vi-VN"/>
        </w:rPr>
        <w:t xml:space="preserve"> Thông tư này</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b2) Thời gian, tỷ lệ khấu hao và phương pháp trích khấu hao thực hiện theo quy định của pháp luật về chế độ quản lý, sử dụng và trích khấu hao tài sản cố định áp dụng cho doanh nghiệp</w:t>
      </w:r>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cs="Times New Roman" w:ascii="Times New Roman" w:hAnsi="Times New Roman"/>
          <w:sz w:val="28"/>
          <w:szCs w:val="28"/>
        </w:rPr>
        <w:t xml:space="preserve">Trường hợp việc trích khấu hao theo tỷ lệ quy định áp dụng cho doanh nghiệp ảnh hưởng đến hoạt động của đơn vị sự nghiệp công lập thì căn cứ tình hình thực tế của từng thời kỳ, trên cơ sở báo cáo của đơn vị được giao tài sản kết cấu hạ tầng chợ, ý kiến của cơ quan tài chính cùng cấp và ý kiến của cơ quan, đơn vị có liên quan (nếu có), </w:t>
      </w:r>
      <w:r>
        <w:rPr>
          <w:rFonts w:cs="Times New Roman" w:ascii="Times New Roman" w:hAnsi="Times New Roman"/>
          <w:sz w:val="28"/>
          <w:szCs w:val="28"/>
          <w:lang w:val="af-ZA"/>
        </w:rPr>
        <w:t xml:space="preserve">cơ quan chuyên môn về tài sản kết cấu hạ tầng chợ cấp tỉnh báo cáo Ủy ban nhân dân cấp tỉnh, cơ quan chuyên môn về tài sản kết cấu hạ tầng </w:t>
      </w:r>
      <w:r>
        <w:rPr>
          <w:rFonts w:cs="Times New Roman" w:ascii="Times New Roman" w:hAnsi="Times New Roman"/>
          <w:sz w:val="28"/>
          <w:szCs w:val="28"/>
        </w:rPr>
        <w:t xml:space="preserve">chợ </w:t>
      </w:r>
      <w:r>
        <w:rPr>
          <w:rFonts w:cs="Times New Roman" w:ascii="Times New Roman" w:hAnsi="Times New Roman"/>
          <w:sz w:val="28"/>
          <w:szCs w:val="28"/>
          <w:lang w:val="af-ZA"/>
        </w:rPr>
        <w:t>cấp huyện báo cáo Ủy ban nhân dân cấp huyện</w:t>
      </w:r>
      <w:r>
        <w:rPr>
          <w:rFonts w:cs="Times New Roman" w:ascii="Times New Roman" w:hAnsi="Times New Roman"/>
          <w:sz w:val="28"/>
          <w:szCs w:val="28"/>
        </w:rPr>
        <w:t xml:space="preserve"> xem xét, quyết định điều chỉnh tỷ lệ khấu hao tài sản cố định cho phù hợp, đảm bảo chất lượng và giá dịch vụ cho đơn vị cung cấp.</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c) Kỳ kế toán theo quy định của chế độ kế toán hiện hành.</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i/>
          <w:i/>
          <w:sz w:val="28"/>
          <w:szCs w:val="28"/>
          <w:lang w:eastAsia="vi-VN"/>
        </w:rPr>
      </w:pPr>
      <w:r>
        <w:rPr>
          <w:rFonts w:cs="Times New Roman" w:ascii="Times New Roman" w:hAnsi="Times New Roman"/>
          <w:spacing w:val="-4"/>
          <w:sz w:val="28"/>
          <w:szCs w:val="28"/>
        </w:rPr>
        <w:t>5. Việc tính hao mòn, trích khấu hao tài sản kết cấu hạ tầng chợ được thực hiện như sau:</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a) Việc tính hao mòn thực hiện mỗi năm 01 (một) lần vào tháng 12, trước khi khóa sổ kế toán.</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rPr>
        <w:t>Đối với tài sản mà cơ quan, đơn vị tiếp nhận từ cơ quan, tổ chức, đơn vị, doanh nghiệp khác theo quyết định của cơ quan, người có thẩm quyền trong năm thì việc tính hao mòn trong năm đó được thực hiện tại cơ quan, đơn vị tiếp nhận tài sản</w:t>
      </w:r>
      <w:r>
        <w:rPr>
          <w:rFonts w:eastAsia="Times New Roman" w:cs="Times New Roman" w:ascii="Times New Roman" w:hAnsi="Times New Roman"/>
          <w:sz w:val="28"/>
          <w:szCs w:val="28"/>
          <w:lang w:val="en-US"/>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b) Việc trích khấu hao thực hiện theo tháng. Chi phí khấu hao tài sản được kết cấu vào giá dịch vụ của đơn vị.</w:t>
      </w:r>
    </w:p>
    <w:p>
      <w:pPr>
        <w:pStyle w:val="Normal"/>
        <w:widowControl w:val="false"/>
        <w:numPr>
          <w:ilvl w:val="0"/>
          <w:numId w:val="0"/>
        </w:numPr>
        <w:shd w:fill="FFFFFF" w:val="clear"/>
        <w:spacing w:lineRule="auto" w:line="240" w:before="120" w:after="120"/>
        <w:ind w:firstLine="567" w:right="0"/>
        <w:jc w:val="both"/>
        <w:outlineLvl w:val="0"/>
        <w:rPr>
          <w:rFonts w:ascii="Times New Roman" w:hAnsi="Times New Roman" w:eastAsia="Times New Roman" w:cs="Times New Roman"/>
          <w:b/>
          <w:bCs/>
          <w:sz w:val="28"/>
          <w:szCs w:val="28"/>
          <w:lang w:eastAsia="vi-VN"/>
        </w:rPr>
      </w:pPr>
      <w:bookmarkStart w:id="31" w:name="dieu_9"/>
      <w:r>
        <w:rPr>
          <w:rFonts w:eastAsia="Times New Roman" w:cs="Times New Roman" w:ascii="Times New Roman" w:hAnsi="Times New Roman"/>
          <w:b/>
          <w:bCs/>
          <w:sz w:val="28"/>
          <w:szCs w:val="28"/>
          <w:lang w:eastAsia="vi-VN"/>
        </w:rPr>
        <w:t>Điều 10. Danh mục tài sản, khung thời gian tính hao mòn và tỷ lệ tính hao mòn</w:t>
      </w:r>
    </w:p>
    <w:p>
      <w:pPr>
        <w:pStyle w:val="Normal"/>
        <w:widowControl w:val="false"/>
        <w:numPr>
          <w:ilvl w:val="0"/>
          <w:numId w:val="1"/>
        </w:numPr>
        <w:shd w:fill="FFFFFF" w:val="clear"/>
        <w:spacing w:lineRule="auto" w:line="240" w:before="120" w:after="120"/>
        <w:jc w:val="both"/>
        <w:rPr>
          <w:rFonts w:ascii="Times New Roman" w:hAnsi="Times New Roman" w:eastAsia="Times New Roman" w:cs="Times New Roman"/>
          <w:bCs/>
          <w:sz w:val="28"/>
          <w:szCs w:val="28"/>
          <w:lang w:eastAsia="vi-VN"/>
        </w:rPr>
      </w:pPr>
      <w:r>
        <w:rPr>
          <w:rFonts w:eastAsia="Times New Roman" w:cs="Times New Roman" w:ascii="Times New Roman" w:hAnsi="Times New Roman"/>
          <w:bCs/>
          <w:sz w:val="28"/>
          <w:szCs w:val="28"/>
          <w:lang w:eastAsia="vi-VN"/>
        </w:rPr>
        <w:t xml:space="preserve">Trường hợp đối tượng ghi sổ kế toán là hệ thống: </w:t>
      </w:r>
    </w:p>
    <w:tbl>
      <w:tblPr>
        <w:tblW w:w="9372" w:type="dxa"/>
        <w:jc w:val="left"/>
        <w:tblInd w:w="0" w:type="dxa"/>
        <w:tblLayout w:type="fixed"/>
        <w:tblCellMar>
          <w:top w:w="0" w:type="dxa"/>
          <w:left w:w="108" w:type="dxa"/>
          <w:bottom w:w="0" w:type="dxa"/>
          <w:right w:w="108" w:type="dxa"/>
        </w:tblCellMar>
      </w:tblPr>
      <w:tblGrid>
        <w:gridCol w:w="734"/>
        <w:gridCol w:w="4477"/>
        <w:gridCol w:w="2127"/>
        <w:gridCol w:w="2034"/>
      </w:tblGrid>
      <w:tr>
        <w:trPr/>
        <w:tc>
          <w:tcPr>
            <w:tcW w:w="7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120" w:after="120"/>
              <w:jc w:val="center"/>
              <w:rPr>
                <w:rFonts w:ascii="Times New Roman" w:hAnsi="Times New Roman" w:cs="Times New Roman"/>
                <w:b/>
                <w:sz w:val="26"/>
                <w:szCs w:val="26"/>
                <w:lang w:val="nl-NL"/>
              </w:rPr>
            </w:pPr>
            <w:r>
              <w:rPr>
                <w:rFonts w:cs="Times New Roman" w:ascii="Times New Roman" w:hAnsi="Times New Roman"/>
                <w:b/>
                <w:spacing w:val="-4"/>
                <w:sz w:val="26"/>
                <w:szCs w:val="26"/>
                <w:lang w:val="pl-PL"/>
              </w:rPr>
              <w:t>STT</w:t>
            </w:r>
          </w:p>
        </w:tc>
        <w:tc>
          <w:tcPr>
            <w:tcW w:w="44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120" w:after="120"/>
              <w:jc w:val="center"/>
              <w:rPr/>
            </w:pPr>
            <w:r>
              <w:rPr>
                <w:rFonts w:cs="Times New Roman" w:ascii="Times New Roman" w:hAnsi="Times New Roman"/>
                <w:b/>
                <w:sz w:val="26"/>
                <w:szCs w:val="26"/>
                <w:lang w:val="nl-NL"/>
              </w:rPr>
              <w:t>Danh mục tài sản</w:t>
            </w:r>
          </w:p>
        </w:tc>
        <w:tc>
          <w:tcPr>
            <w:tcW w:w="21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120" w:after="120"/>
              <w:jc w:val="center"/>
              <w:rPr>
                <w:rFonts w:ascii="Times New Roman" w:hAnsi="Times New Roman" w:cs="Times New Roman"/>
                <w:b/>
                <w:sz w:val="26"/>
                <w:szCs w:val="26"/>
              </w:rPr>
            </w:pPr>
            <w:r>
              <w:rPr>
                <w:rFonts w:cs="Times New Roman" w:ascii="Times New Roman" w:hAnsi="Times New Roman"/>
                <w:b/>
                <w:sz w:val="26"/>
                <w:szCs w:val="26"/>
                <w:lang w:val="nl-NL"/>
              </w:rPr>
              <w:t xml:space="preserve">Khung thời gian tính hao mòn </w:t>
            </w:r>
            <w:r>
              <w:rPr>
                <w:rFonts w:cs="Times New Roman" w:ascii="Times New Roman" w:hAnsi="Times New Roman"/>
                <w:sz w:val="26"/>
                <w:szCs w:val="26"/>
              </w:rPr>
              <w:t>(</w:t>
            </w:r>
            <w:r>
              <w:rPr>
                <w:rFonts w:cs="Times New Roman" w:ascii="Times New Roman" w:hAnsi="Times New Roman"/>
                <w:sz w:val="26"/>
                <w:szCs w:val="26"/>
                <w:lang w:val="nl-NL"/>
              </w:rPr>
              <w:t>năm</w:t>
            </w:r>
            <w:r>
              <w:rPr>
                <w:rFonts w:cs="Times New Roman" w:ascii="Times New Roman" w:hAnsi="Times New Roman"/>
                <w:sz w:val="26"/>
                <w:szCs w:val="26"/>
              </w:rPr>
              <w:t>)</w:t>
            </w:r>
          </w:p>
        </w:tc>
        <w:tc>
          <w:tcPr>
            <w:tcW w:w="20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120" w:after="120"/>
              <w:jc w:val="center"/>
              <w:rPr>
                <w:rFonts w:ascii="Times New Roman" w:hAnsi="Times New Roman" w:cs="Times New Roman"/>
                <w:b/>
                <w:sz w:val="26"/>
                <w:szCs w:val="26"/>
              </w:rPr>
            </w:pPr>
            <w:r>
              <w:rPr>
                <w:rFonts w:cs="Times New Roman" w:ascii="Times New Roman" w:hAnsi="Times New Roman"/>
                <w:b/>
                <w:sz w:val="26"/>
                <w:szCs w:val="26"/>
              </w:rPr>
              <w:t xml:space="preserve">Khung tỷ lệ hao mòn </w:t>
            </w:r>
            <w:r>
              <w:rPr>
                <w:rFonts w:cs="Times New Roman" w:ascii="Times New Roman" w:hAnsi="Times New Roman"/>
                <w:sz w:val="26"/>
                <w:szCs w:val="26"/>
              </w:rPr>
              <w:t>(%/năm)</w:t>
            </w:r>
          </w:p>
        </w:tc>
      </w:tr>
      <w:tr>
        <w:trPr/>
        <w:tc>
          <w:tcPr>
            <w:tcW w:w="7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auto" w:line="240" w:before="120" w:after="120"/>
              <w:jc w:val="center"/>
              <w:rPr>
                <w:rFonts w:ascii="Times New Roman" w:hAnsi="Times New Roman" w:cs="Times New Roman"/>
                <w:b/>
                <w:sz w:val="26"/>
                <w:szCs w:val="26"/>
              </w:rPr>
            </w:pPr>
            <w:r>
              <w:rPr>
                <w:rFonts w:cs="Times New Roman" w:ascii="Times New Roman" w:hAnsi="Times New Roman"/>
                <w:b/>
                <w:sz w:val="26"/>
                <w:szCs w:val="26"/>
              </w:rPr>
            </w:r>
          </w:p>
        </w:tc>
        <w:tc>
          <w:tcPr>
            <w:tcW w:w="447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20" w:after="120"/>
              <w:jc w:val="both"/>
              <w:rPr>
                <w:rFonts w:ascii="Times New Roman" w:hAnsi="Times New Roman" w:cs="Times New Roman"/>
                <w:sz w:val="26"/>
                <w:szCs w:val="26"/>
              </w:rPr>
            </w:pPr>
            <w:r>
              <w:rPr>
                <w:rFonts w:cs="Times New Roman" w:ascii="Times New Roman" w:hAnsi="Times New Roman"/>
                <w:bCs/>
                <w:sz w:val="26"/>
                <w:szCs w:val="26"/>
              </w:rPr>
              <w:t xml:space="preserve">Hệ thống tài sản kết cấu hạ tầng chợ </w:t>
            </w:r>
          </w:p>
        </w:tc>
        <w:tc>
          <w:tcPr>
            <w:tcW w:w="212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120" w:after="120"/>
              <w:jc w:val="center"/>
              <w:rPr>
                <w:rFonts w:ascii="Times New Roman" w:hAnsi="Times New Roman" w:cs="Times New Roman"/>
                <w:sz w:val="26"/>
                <w:szCs w:val="26"/>
                <w:lang w:val="nl-NL"/>
              </w:rPr>
            </w:pPr>
            <w:r>
              <w:rPr>
                <w:rFonts w:cs="Times New Roman" w:ascii="Times New Roman" w:hAnsi="Times New Roman"/>
                <w:sz w:val="26"/>
                <w:szCs w:val="26"/>
                <w:lang w:val="nl-NL"/>
              </w:rPr>
              <w:t>10 - 50</w:t>
            </w:r>
          </w:p>
        </w:tc>
        <w:tc>
          <w:tcPr>
            <w:tcW w:w="20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120" w:after="120"/>
              <w:jc w:val="center"/>
              <w:rPr>
                <w:rFonts w:ascii="Times New Roman" w:hAnsi="Times New Roman" w:cs="Times New Roman"/>
                <w:sz w:val="26"/>
                <w:szCs w:val="26"/>
              </w:rPr>
            </w:pPr>
            <w:r>
              <w:rPr>
                <w:rFonts w:cs="Times New Roman" w:ascii="Times New Roman" w:hAnsi="Times New Roman"/>
                <w:sz w:val="26"/>
                <w:szCs w:val="26"/>
              </w:rPr>
              <w:t>2 - 10</w:t>
            </w:r>
          </w:p>
        </w:tc>
      </w:tr>
    </w:tbl>
    <w:p>
      <w:pPr>
        <w:pStyle w:val="Normal"/>
        <w:widowControl w:val="false"/>
        <w:spacing w:lineRule="auto" w:line="240" w:before="120" w:after="120"/>
        <w:ind w:firstLine="567" w:right="0"/>
        <w:jc w:val="both"/>
        <w:rPr>
          <w:rFonts w:ascii="Times New Roman" w:hAnsi="Times New Roman" w:cs="Times New Roman"/>
          <w:bCs/>
          <w:sz w:val="12"/>
          <w:szCs w:val="28"/>
        </w:rPr>
      </w:pPr>
      <w:r>
        <w:rPr>
          <w:rFonts w:cs="Times New Roman" w:ascii="Times New Roman" w:hAnsi="Times New Roman"/>
          <w:bCs/>
          <w:sz w:val="12"/>
          <w:szCs w:val="28"/>
        </w:rPr>
      </w:r>
    </w:p>
    <w:p>
      <w:pPr>
        <w:pStyle w:val="Normal"/>
        <w:widowControl w:val="false"/>
        <w:spacing w:lineRule="auto" w:line="240" w:before="120" w:after="120"/>
        <w:ind w:firstLine="567" w:right="0"/>
        <w:jc w:val="both"/>
        <w:rPr>
          <w:rFonts w:ascii="Times New Roman" w:hAnsi="Times New Roman" w:cs="Times New Roman"/>
          <w:sz w:val="28"/>
          <w:szCs w:val="28"/>
        </w:rPr>
      </w:pPr>
      <w:r>
        <w:rPr>
          <w:rFonts w:cs="Times New Roman" w:ascii="Times New Roman" w:hAnsi="Times New Roman"/>
          <w:bCs/>
          <w:sz w:val="28"/>
          <w:szCs w:val="28"/>
        </w:rPr>
        <w:t>2. Trường hợp đối tượng ghi sổ kế toán là</w:t>
      </w:r>
      <w:r>
        <w:rPr>
          <w:rFonts w:cs="Times New Roman" w:ascii="Times New Roman" w:hAnsi="Times New Roman"/>
          <w:sz w:val="28"/>
          <w:szCs w:val="28"/>
        </w:rPr>
        <w:t xml:space="preserve"> từng tài sản độc lập:</w:t>
      </w:r>
    </w:p>
    <w:tbl>
      <w:tblPr>
        <w:tblW w:w="5000" w:type="pct"/>
        <w:jc w:val="left"/>
        <w:tblInd w:w="-20" w:type="dxa"/>
        <w:tblLayout w:type="fixed"/>
        <w:tblCellMar>
          <w:top w:w="0" w:type="dxa"/>
          <w:left w:w="108" w:type="dxa"/>
          <w:bottom w:w="0" w:type="dxa"/>
          <w:right w:w="108" w:type="dxa"/>
        </w:tblCellMar>
      </w:tblPr>
      <w:tblGrid>
        <w:gridCol w:w="731"/>
        <w:gridCol w:w="4344"/>
        <w:gridCol w:w="1997"/>
        <w:gridCol w:w="1998"/>
      </w:tblGrid>
      <w:tr>
        <w:trPr>
          <w:trHeight w:val="1539" w:hRule="atLeast"/>
        </w:trPr>
        <w:tc>
          <w:tcPr>
            <w:tcW w:w="73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sz w:val="26"/>
                <w:szCs w:val="26"/>
              </w:rPr>
            </w:pPr>
            <w:r>
              <w:rPr>
                <w:rFonts w:cs="Times New Roman" w:ascii="Times New Roman" w:hAnsi="Times New Roman"/>
                <w:b/>
                <w:bCs/>
                <w:sz w:val="26"/>
                <w:szCs w:val="26"/>
                <w:lang w:val="en-US"/>
              </w:rPr>
              <w:t>STT</w:t>
            </w:r>
          </w:p>
        </w:tc>
        <w:tc>
          <w:tcPr>
            <w:tcW w:w="4344" w:type="dxa"/>
            <w:tcBorders>
              <w:top w:val="single" w:sz="8" w:space="0" w:color="000000"/>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sz w:val="26"/>
                <w:szCs w:val="26"/>
              </w:rPr>
            </w:pPr>
            <w:r>
              <w:rPr>
                <w:rFonts w:cs="Times New Roman" w:ascii="Times New Roman" w:hAnsi="Times New Roman"/>
                <w:b/>
                <w:sz w:val="26"/>
                <w:szCs w:val="26"/>
                <w:lang w:val="nl-NL"/>
              </w:rPr>
              <w:t>Danh mục tài sản</w:t>
            </w:r>
          </w:p>
        </w:tc>
        <w:tc>
          <w:tcPr>
            <w:tcW w:w="1997" w:type="dxa"/>
            <w:tcBorders>
              <w:top w:val="single" w:sz="8" w:space="0" w:color="000000"/>
              <w:bottom w:val="single" w:sz="8" w:space="0" w:color="000000"/>
              <w:right w:val="single" w:sz="8" w:space="0" w:color="000000"/>
            </w:tcBorders>
            <w:shd w:fill="FFFFFF" w:val="clear"/>
            <w:vAlign w:val="center"/>
          </w:tcPr>
          <w:p>
            <w:pPr>
              <w:pStyle w:val="Normal"/>
              <w:widowControl w:val="false"/>
              <w:spacing w:lineRule="auto" w:line="240" w:before="120" w:after="120"/>
              <w:jc w:val="center"/>
              <w:rPr/>
            </w:pPr>
            <w:r>
              <w:rPr>
                <w:rFonts w:cs="Times New Roman" w:ascii="Times New Roman" w:hAnsi="Times New Roman"/>
                <w:b/>
                <w:sz w:val="26"/>
                <w:szCs w:val="26"/>
                <w:lang w:val="nl-NL"/>
              </w:rPr>
              <w:t xml:space="preserve">Khung thời gian tính hao mòn </w:t>
            </w:r>
            <w:r>
              <w:rPr>
                <w:rFonts w:cs="Times New Roman" w:ascii="Times New Roman" w:hAnsi="Times New Roman"/>
                <w:sz w:val="26"/>
                <w:szCs w:val="26"/>
              </w:rPr>
              <w:t>(</w:t>
            </w:r>
            <w:r>
              <w:rPr>
                <w:rFonts w:cs="Times New Roman" w:ascii="Times New Roman" w:hAnsi="Times New Roman"/>
                <w:sz w:val="26"/>
                <w:szCs w:val="26"/>
                <w:lang w:val="nl-NL"/>
              </w:rPr>
              <w:t>năm</w:t>
            </w:r>
            <w:r>
              <w:rPr>
                <w:rFonts w:cs="Times New Roman" w:ascii="Times New Roman" w:hAnsi="Times New Roman"/>
                <w:sz w:val="26"/>
                <w:szCs w:val="26"/>
              </w:rPr>
              <w:t>)</w:t>
            </w:r>
          </w:p>
        </w:tc>
        <w:tc>
          <w:tcPr>
            <w:tcW w:w="1998" w:type="dxa"/>
            <w:tcBorders>
              <w:top w:val="single" w:sz="8" w:space="0" w:color="000000"/>
              <w:bottom w:val="single" w:sz="8" w:space="0" w:color="000000"/>
              <w:right w:val="single" w:sz="8" w:space="0" w:color="000000"/>
            </w:tcBorders>
            <w:shd w:fill="FFFFFF" w:val="clear"/>
            <w:vAlign w:val="center"/>
          </w:tcPr>
          <w:p>
            <w:pPr>
              <w:pStyle w:val="Normal"/>
              <w:widowControl w:val="false"/>
              <w:spacing w:lineRule="auto" w:line="240" w:before="120" w:after="120"/>
              <w:jc w:val="center"/>
              <w:rPr/>
            </w:pPr>
            <w:r>
              <w:rPr>
                <w:rFonts w:cs="Times New Roman" w:ascii="Times New Roman" w:hAnsi="Times New Roman"/>
                <w:b/>
                <w:sz w:val="26"/>
                <w:szCs w:val="26"/>
              </w:rPr>
              <w:t xml:space="preserve">Khung tỷ lệ hao mòn </w:t>
            </w:r>
            <w:r>
              <w:rPr>
                <w:rFonts w:cs="Times New Roman" w:ascii="Times New Roman" w:hAnsi="Times New Roman"/>
                <w:sz w:val="26"/>
                <w:szCs w:val="26"/>
              </w:rPr>
              <w:t>(%/năm)</w:t>
            </w:r>
          </w:p>
        </w:tc>
      </w:tr>
      <w:tr>
        <w:trPr>
          <w:trHeight w:val="411" w:hRule="atLeast"/>
        </w:trPr>
        <w:tc>
          <w:tcPr>
            <w:tcW w:w="731" w:type="dxa"/>
            <w:tcBorders>
              <w:left w:val="single" w:sz="8" w:space="0" w:color="000000"/>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sz w:val="26"/>
                <w:szCs w:val="26"/>
              </w:rPr>
            </w:pPr>
            <w:r>
              <w:rPr>
                <w:rFonts w:cs="Times New Roman" w:ascii="Times New Roman" w:hAnsi="Times New Roman"/>
                <w:b/>
                <w:bCs/>
                <w:sz w:val="26"/>
                <w:szCs w:val="26"/>
                <w:lang w:val="en-US"/>
              </w:rPr>
              <w:t>I</w:t>
            </w:r>
          </w:p>
        </w:tc>
        <w:tc>
          <w:tcPr>
            <w:tcW w:w="4344" w:type="dxa"/>
            <w:tcBorders>
              <w:bottom w:val="single" w:sz="8" w:space="0" w:color="000000"/>
              <w:right w:val="single" w:sz="8" w:space="0" w:color="000000"/>
            </w:tcBorders>
            <w:shd w:fill="FFFFFF" w:val="clear"/>
            <w:vAlign w:val="center"/>
          </w:tcPr>
          <w:p>
            <w:pPr>
              <w:pStyle w:val="Normal"/>
              <w:widowControl w:val="false"/>
              <w:spacing w:lineRule="auto" w:line="240" w:before="120" w:after="120"/>
              <w:rPr>
                <w:rFonts w:ascii="Times New Roman" w:hAnsi="Times New Roman" w:cs="Times New Roman"/>
                <w:sz w:val="26"/>
                <w:szCs w:val="26"/>
              </w:rPr>
            </w:pPr>
            <w:r>
              <w:rPr>
                <w:rFonts w:cs="Times New Roman" w:ascii="Times New Roman" w:hAnsi="Times New Roman"/>
                <w:b/>
                <w:bCs/>
                <w:sz w:val="26"/>
                <w:szCs w:val="26"/>
              </w:rPr>
              <w:t>Nhà, công trình xây dựng (nhà lồng chợ và các công trình có mái che, nhà điều hành của tổ chức quản lý chợ trong phạm vi chợ)</w:t>
            </w:r>
          </w:p>
        </w:tc>
        <w:tc>
          <w:tcPr>
            <w:tcW w:w="1997" w:type="dxa"/>
            <w:tcBorders>
              <w:bottom w:val="single" w:sz="8" w:space="0" w:color="000000"/>
              <w:right w:val="single" w:sz="8" w:space="0" w:color="000000"/>
            </w:tcBorders>
            <w:shd w:fill="FFFFFF" w:val="clear"/>
            <w:vAlign w:val="center"/>
          </w:tcPr>
          <w:p>
            <w:pPr>
              <w:pStyle w:val="Normal"/>
              <w:widowControl w:val="false"/>
              <w:snapToGrid w:val="false"/>
              <w:spacing w:lineRule="auto" w:line="240" w:before="120" w:after="120"/>
              <w:ind w:firstLine="567" w:right="0"/>
              <w:jc w:val="center"/>
              <w:rPr>
                <w:rFonts w:ascii="Times New Roman" w:hAnsi="Times New Roman" w:cs="Times New Roman"/>
                <w:sz w:val="26"/>
                <w:szCs w:val="26"/>
              </w:rPr>
            </w:pPr>
            <w:r>
              <w:rPr>
                <w:rFonts w:cs="Times New Roman" w:ascii="Times New Roman" w:hAnsi="Times New Roman"/>
                <w:sz w:val="26"/>
                <w:szCs w:val="26"/>
              </w:rPr>
            </w:r>
          </w:p>
        </w:tc>
        <w:tc>
          <w:tcPr>
            <w:tcW w:w="1998" w:type="dxa"/>
            <w:tcBorders>
              <w:bottom w:val="single" w:sz="8" w:space="0" w:color="000000"/>
              <w:right w:val="single" w:sz="8" w:space="0" w:color="000000"/>
            </w:tcBorders>
            <w:shd w:fill="FFFFFF" w:val="clear"/>
            <w:vAlign w:val="center"/>
          </w:tcPr>
          <w:p>
            <w:pPr>
              <w:pStyle w:val="Normal"/>
              <w:widowControl w:val="false"/>
              <w:snapToGrid w:val="false"/>
              <w:spacing w:lineRule="auto" w:line="240" w:before="120" w:after="120"/>
              <w:ind w:firstLine="567" w:right="0"/>
              <w:jc w:val="center"/>
              <w:rPr>
                <w:rFonts w:ascii="Times New Roman" w:hAnsi="Times New Roman" w:cs="Times New Roman"/>
                <w:sz w:val="26"/>
                <w:szCs w:val="26"/>
              </w:rPr>
            </w:pPr>
            <w:r>
              <w:rPr>
                <w:rFonts w:cs="Times New Roman" w:ascii="Times New Roman" w:hAnsi="Times New Roman"/>
                <w:sz w:val="26"/>
                <w:szCs w:val="26"/>
              </w:rPr>
            </w:r>
          </w:p>
        </w:tc>
      </w:tr>
      <w:tr>
        <w:trPr>
          <w:trHeight w:val="414" w:hRule="atLeast"/>
        </w:trPr>
        <w:tc>
          <w:tcPr>
            <w:tcW w:w="731" w:type="dxa"/>
            <w:tcBorders>
              <w:left w:val="single" w:sz="8" w:space="0" w:color="000000"/>
              <w:bottom w:val="single" w:sz="8" w:space="0" w:color="000000"/>
              <w:right w:val="single" w:sz="8" w:space="0" w:color="000000"/>
            </w:tcBorders>
            <w:shd w:fill="FFFFFF" w:val="clear"/>
            <w:vAlign w:val="center"/>
          </w:tcPr>
          <w:p>
            <w:pPr>
              <w:pStyle w:val="Normal"/>
              <w:widowControl w:val="false"/>
              <w:snapToGrid w:val="false"/>
              <w:spacing w:lineRule="auto" w:line="240" w:before="120" w:after="120"/>
              <w:ind w:firstLine="567" w:right="0"/>
              <w:jc w:val="center"/>
              <w:rPr>
                <w:rFonts w:ascii="Times New Roman" w:hAnsi="Times New Roman" w:cs="Times New Roman"/>
                <w:sz w:val="26"/>
                <w:szCs w:val="26"/>
              </w:rPr>
            </w:pPr>
            <w:r>
              <w:rPr>
                <w:rFonts w:cs="Times New Roman" w:ascii="Times New Roman" w:hAnsi="Times New Roman"/>
                <w:sz w:val="26"/>
                <w:szCs w:val="26"/>
              </w:rPr>
            </w:r>
          </w:p>
        </w:tc>
        <w:tc>
          <w:tcPr>
            <w:tcW w:w="4344" w:type="dxa"/>
            <w:tcBorders>
              <w:bottom w:val="single" w:sz="8" w:space="0" w:color="000000"/>
              <w:right w:val="single" w:sz="8" w:space="0" w:color="000000"/>
            </w:tcBorders>
            <w:shd w:fill="FFFFFF" w:val="clear"/>
            <w:vAlign w:val="center"/>
          </w:tcPr>
          <w:p>
            <w:pPr>
              <w:pStyle w:val="Normal"/>
              <w:widowControl w:val="false"/>
              <w:spacing w:lineRule="auto" w:line="240" w:before="120" w:after="120"/>
              <w:rPr>
                <w:rFonts w:ascii="Times New Roman" w:hAnsi="Times New Roman" w:cs="Times New Roman"/>
                <w:sz w:val="26"/>
                <w:szCs w:val="26"/>
              </w:rPr>
            </w:pPr>
            <w:r>
              <w:rPr>
                <w:rFonts w:cs="Times New Roman" w:ascii="Times New Roman" w:hAnsi="Times New Roman"/>
                <w:sz w:val="26"/>
                <w:szCs w:val="26"/>
              </w:rPr>
              <w:t>- Cấp I, cấp II (theo Tiêu chuẩn quốc gia TCVN 9211:2012 về chợ)</w:t>
            </w:r>
          </w:p>
        </w:tc>
        <w:tc>
          <w:tcPr>
            <w:tcW w:w="1997" w:type="dxa"/>
            <w:tcBorders>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sz w:val="26"/>
                <w:szCs w:val="26"/>
              </w:rPr>
            </w:pPr>
            <w:r>
              <w:rPr>
                <w:rFonts w:cs="Times New Roman" w:ascii="Times New Roman" w:hAnsi="Times New Roman"/>
                <w:sz w:val="26"/>
                <w:szCs w:val="26"/>
                <w:lang w:val="en-US"/>
              </w:rPr>
              <w:t>25</w:t>
            </w:r>
          </w:p>
        </w:tc>
        <w:tc>
          <w:tcPr>
            <w:tcW w:w="1998" w:type="dxa"/>
            <w:tcBorders>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sz w:val="26"/>
                <w:szCs w:val="26"/>
              </w:rPr>
            </w:pPr>
            <w:r>
              <w:rPr>
                <w:rFonts w:cs="Times New Roman" w:ascii="Times New Roman" w:hAnsi="Times New Roman"/>
                <w:sz w:val="26"/>
                <w:szCs w:val="26"/>
                <w:lang w:val="en-US"/>
              </w:rPr>
              <w:t>4</w:t>
            </w:r>
          </w:p>
        </w:tc>
      </w:tr>
      <w:tr>
        <w:trPr>
          <w:trHeight w:val="406" w:hRule="atLeast"/>
        </w:trPr>
        <w:tc>
          <w:tcPr>
            <w:tcW w:w="731" w:type="dxa"/>
            <w:tcBorders>
              <w:left w:val="single" w:sz="8" w:space="0" w:color="000000"/>
              <w:bottom w:val="single" w:sz="8" w:space="0" w:color="000000"/>
              <w:right w:val="single" w:sz="8" w:space="0" w:color="000000"/>
            </w:tcBorders>
            <w:shd w:fill="FFFFFF" w:val="clear"/>
            <w:vAlign w:val="center"/>
          </w:tcPr>
          <w:p>
            <w:pPr>
              <w:pStyle w:val="Normal"/>
              <w:widowControl w:val="false"/>
              <w:snapToGrid w:val="false"/>
              <w:spacing w:lineRule="auto" w:line="240" w:before="120" w:after="120"/>
              <w:ind w:firstLine="567" w:right="0"/>
              <w:jc w:val="center"/>
              <w:rPr>
                <w:rFonts w:ascii="Times New Roman" w:hAnsi="Times New Roman" w:cs="Times New Roman"/>
                <w:sz w:val="26"/>
                <w:szCs w:val="26"/>
              </w:rPr>
            </w:pPr>
            <w:r>
              <w:rPr>
                <w:rFonts w:cs="Times New Roman" w:ascii="Times New Roman" w:hAnsi="Times New Roman"/>
                <w:sz w:val="26"/>
                <w:szCs w:val="26"/>
              </w:rPr>
            </w:r>
          </w:p>
        </w:tc>
        <w:tc>
          <w:tcPr>
            <w:tcW w:w="4344" w:type="dxa"/>
            <w:tcBorders>
              <w:bottom w:val="single" w:sz="8" w:space="0" w:color="000000"/>
              <w:right w:val="single" w:sz="8" w:space="0" w:color="000000"/>
            </w:tcBorders>
            <w:shd w:fill="FFFFFF" w:val="clear"/>
            <w:vAlign w:val="center"/>
          </w:tcPr>
          <w:p>
            <w:pPr>
              <w:pStyle w:val="Normal"/>
              <w:widowControl w:val="false"/>
              <w:spacing w:lineRule="auto" w:line="240" w:before="120" w:after="120"/>
              <w:rPr>
                <w:rFonts w:ascii="Times New Roman" w:hAnsi="Times New Roman" w:cs="Times New Roman"/>
                <w:sz w:val="26"/>
                <w:szCs w:val="26"/>
              </w:rPr>
            </w:pPr>
            <w:r>
              <w:rPr>
                <w:rFonts w:cs="Times New Roman" w:ascii="Times New Roman" w:hAnsi="Times New Roman"/>
                <w:sz w:val="26"/>
                <w:szCs w:val="26"/>
              </w:rPr>
              <w:t>- Cấp III, cấp IV (theo Tiêu chuẩn quốc gia TCVN 9211:2012 về chợ)</w:t>
            </w:r>
          </w:p>
        </w:tc>
        <w:tc>
          <w:tcPr>
            <w:tcW w:w="1997" w:type="dxa"/>
            <w:tcBorders>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sz w:val="26"/>
                <w:szCs w:val="26"/>
              </w:rPr>
            </w:pPr>
            <w:r>
              <w:rPr>
                <w:rFonts w:cs="Times New Roman" w:ascii="Times New Roman" w:hAnsi="Times New Roman"/>
                <w:sz w:val="26"/>
                <w:szCs w:val="26"/>
                <w:lang w:val="en-US"/>
              </w:rPr>
              <w:t>15</w:t>
            </w:r>
          </w:p>
        </w:tc>
        <w:tc>
          <w:tcPr>
            <w:tcW w:w="1998" w:type="dxa"/>
            <w:tcBorders>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sz w:val="26"/>
                <w:szCs w:val="26"/>
              </w:rPr>
            </w:pPr>
            <w:r>
              <w:rPr>
                <w:rFonts w:cs="Times New Roman" w:ascii="Times New Roman" w:hAnsi="Times New Roman"/>
                <w:sz w:val="26"/>
                <w:szCs w:val="26"/>
                <w:lang w:val="en-US"/>
              </w:rPr>
              <w:t>6,67</w:t>
            </w:r>
          </w:p>
        </w:tc>
      </w:tr>
      <w:tr>
        <w:trPr>
          <w:trHeight w:val="413" w:hRule="atLeast"/>
        </w:trPr>
        <w:tc>
          <w:tcPr>
            <w:tcW w:w="731" w:type="dxa"/>
            <w:tcBorders>
              <w:left w:val="single" w:sz="8" w:space="0" w:color="000000"/>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sz w:val="26"/>
                <w:szCs w:val="26"/>
              </w:rPr>
            </w:pPr>
            <w:r>
              <w:rPr>
                <w:rFonts w:cs="Times New Roman" w:ascii="Times New Roman" w:hAnsi="Times New Roman"/>
                <w:b/>
                <w:bCs/>
                <w:sz w:val="26"/>
                <w:szCs w:val="26"/>
                <w:lang w:val="en-US"/>
              </w:rPr>
              <w:t>II</w:t>
            </w:r>
          </w:p>
        </w:tc>
        <w:tc>
          <w:tcPr>
            <w:tcW w:w="4344" w:type="dxa"/>
            <w:tcBorders>
              <w:bottom w:val="single" w:sz="8" w:space="0" w:color="000000"/>
              <w:right w:val="single" w:sz="8" w:space="0" w:color="000000"/>
            </w:tcBorders>
            <w:shd w:fill="FFFFFF" w:val="clear"/>
            <w:vAlign w:val="center"/>
          </w:tcPr>
          <w:p>
            <w:pPr>
              <w:pStyle w:val="Normal"/>
              <w:widowControl w:val="false"/>
              <w:spacing w:lineRule="auto" w:line="240" w:before="120" w:after="120"/>
              <w:rPr>
                <w:rFonts w:ascii="Times New Roman" w:hAnsi="Times New Roman" w:cs="Times New Roman"/>
                <w:sz w:val="26"/>
                <w:szCs w:val="26"/>
              </w:rPr>
            </w:pPr>
            <w:r>
              <w:rPr>
                <w:rFonts w:cs="Times New Roman" w:ascii="Times New Roman" w:hAnsi="Times New Roman"/>
                <w:b/>
                <w:bCs/>
                <w:sz w:val="26"/>
                <w:szCs w:val="26"/>
                <w:lang w:val="en-US"/>
              </w:rPr>
              <w:t>Vật kiến trúc</w:t>
            </w:r>
          </w:p>
        </w:tc>
        <w:tc>
          <w:tcPr>
            <w:tcW w:w="1997" w:type="dxa"/>
            <w:tcBorders>
              <w:bottom w:val="single" w:sz="8" w:space="0" w:color="000000"/>
              <w:right w:val="single" w:sz="8" w:space="0" w:color="000000"/>
            </w:tcBorders>
            <w:shd w:fill="FFFFFF" w:val="clear"/>
            <w:vAlign w:val="center"/>
          </w:tcPr>
          <w:p>
            <w:pPr>
              <w:pStyle w:val="Normal"/>
              <w:widowControl w:val="false"/>
              <w:snapToGrid w:val="false"/>
              <w:spacing w:lineRule="auto" w:line="240" w:before="120" w:after="120"/>
              <w:ind w:firstLine="567" w:right="0"/>
              <w:jc w:val="center"/>
              <w:rPr>
                <w:rFonts w:ascii="Times New Roman" w:hAnsi="Times New Roman" w:cs="Times New Roman"/>
                <w:sz w:val="26"/>
                <w:szCs w:val="26"/>
              </w:rPr>
            </w:pPr>
            <w:r>
              <w:rPr>
                <w:rFonts w:cs="Times New Roman" w:ascii="Times New Roman" w:hAnsi="Times New Roman"/>
                <w:sz w:val="26"/>
                <w:szCs w:val="26"/>
              </w:rPr>
            </w:r>
          </w:p>
        </w:tc>
        <w:tc>
          <w:tcPr>
            <w:tcW w:w="1998" w:type="dxa"/>
            <w:tcBorders>
              <w:bottom w:val="single" w:sz="8" w:space="0" w:color="000000"/>
              <w:right w:val="single" w:sz="8" w:space="0" w:color="000000"/>
            </w:tcBorders>
            <w:shd w:fill="FFFFFF" w:val="clear"/>
            <w:vAlign w:val="center"/>
          </w:tcPr>
          <w:p>
            <w:pPr>
              <w:pStyle w:val="Normal"/>
              <w:widowControl w:val="false"/>
              <w:snapToGrid w:val="false"/>
              <w:spacing w:lineRule="auto" w:line="240" w:before="120" w:after="120"/>
              <w:ind w:firstLine="567" w:right="0"/>
              <w:jc w:val="center"/>
              <w:rPr>
                <w:rFonts w:ascii="Times New Roman" w:hAnsi="Times New Roman" w:cs="Times New Roman"/>
                <w:sz w:val="26"/>
                <w:szCs w:val="26"/>
              </w:rPr>
            </w:pPr>
            <w:r>
              <w:rPr>
                <w:rFonts w:cs="Times New Roman" w:ascii="Times New Roman" w:hAnsi="Times New Roman"/>
                <w:sz w:val="26"/>
                <w:szCs w:val="26"/>
              </w:rPr>
            </w:r>
          </w:p>
        </w:tc>
      </w:tr>
      <w:tr>
        <w:trPr/>
        <w:tc>
          <w:tcPr>
            <w:tcW w:w="731" w:type="dxa"/>
            <w:tcBorders>
              <w:left w:val="single" w:sz="8" w:space="0" w:color="000000"/>
              <w:bottom w:val="single" w:sz="8" w:space="0" w:color="000000"/>
              <w:right w:val="single" w:sz="8" w:space="0" w:color="000000"/>
            </w:tcBorders>
            <w:shd w:fill="FFFFFF" w:val="clear"/>
            <w:vAlign w:val="center"/>
          </w:tcPr>
          <w:p>
            <w:pPr>
              <w:pStyle w:val="Normal"/>
              <w:widowControl w:val="false"/>
              <w:snapToGrid w:val="false"/>
              <w:spacing w:lineRule="auto" w:line="240" w:before="120" w:after="120"/>
              <w:ind w:firstLine="567" w:right="0"/>
              <w:jc w:val="center"/>
              <w:rPr>
                <w:rFonts w:ascii="Times New Roman" w:hAnsi="Times New Roman" w:cs="Times New Roman"/>
                <w:sz w:val="26"/>
                <w:szCs w:val="26"/>
              </w:rPr>
            </w:pPr>
            <w:r>
              <w:rPr>
                <w:rFonts w:cs="Times New Roman" w:ascii="Times New Roman" w:hAnsi="Times New Roman"/>
                <w:sz w:val="26"/>
                <w:szCs w:val="26"/>
              </w:rPr>
            </w:r>
          </w:p>
        </w:tc>
        <w:tc>
          <w:tcPr>
            <w:tcW w:w="4344" w:type="dxa"/>
            <w:tcBorders>
              <w:bottom w:val="single" w:sz="8" w:space="0" w:color="000000"/>
              <w:right w:val="single" w:sz="8" w:space="0" w:color="000000"/>
            </w:tcBorders>
            <w:shd w:fill="FFFFFF" w:val="clear"/>
            <w:vAlign w:val="center"/>
          </w:tcPr>
          <w:p>
            <w:pPr>
              <w:pStyle w:val="Normal"/>
              <w:widowControl w:val="false"/>
              <w:spacing w:lineRule="auto" w:line="240" w:before="120" w:after="120"/>
              <w:rPr>
                <w:rFonts w:ascii="Times New Roman" w:hAnsi="Times New Roman" w:cs="Times New Roman"/>
                <w:sz w:val="26"/>
                <w:szCs w:val="26"/>
              </w:rPr>
            </w:pPr>
            <w:r>
              <w:rPr>
                <w:rFonts w:cs="Times New Roman" w:ascii="Times New Roman" w:hAnsi="Times New Roman"/>
                <w:sz w:val="26"/>
                <w:szCs w:val="26"/>
              </w:rPr>
              <w:t>Khu vệ sinh, kho chứa hàng, bãi để xe, khu thu gom/xử lý rác, phòng bảo vệ, không gian tín ngưỡng, kho lạnh</w:t>
            </w:r>
          </w:p>
        </w:tc>
        <w:tc>
          <w:tcPr>
            <w:tcW w:w="1997" w:type="dxa"/>
            <w:tcBorders>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sz w:val="26"/>
                <w:szCs w:val="26"/>
              </w:rPr>
            </w:pPr>
            <w:r>
              <w:rPr>
                <w:rFonts w:cs="Times New Roman" w:ascii="Times New Roman" w:hAnsi="Times New Roman"/>
                <w:sz w:val="26"/>
                <w:szCs w:val="26"/>
                <w:lang w:val="en-US"/>
              </w:rPr>
              <w:t>10</w:t>
            </w:r>
          </w:p>
        </w:tc>
        <w:tc>
          <w:tcPr>
            <w:tcW w:w="1998" w:type="dxa"/>
            <w:tcBorders>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sz w:val="26"/>
                <w:szCs w:val="26"/>
              </w:rPr>
            </w:pPr>
            <w:r>
              <w:rPr>
                <w:rFonts w:cs="Times New Roman" w:ascii="Times New Roman" w:hAnsi="Times New Roman"/>
                <w:sz w:val="26"/>
                <w:szCs w:val="26"/>
                <w:lang w:val="en-US"/>
              </w:rPr>
              <w:t>10</w:t>
            </w:r>
          </w:p>
        </w:tc>
      </w:tr>
      <w:tr>
        <w:trPr>
          <w:trHeight w:val="674" w:hRule="atLeast"/>
        </w:trPr>
        <w:tc>
          <w:tcPr>
            <w:tcW w:w="731" w:type="dxa"/>
            <w:tcBorders>
              <w:left w:val="single" w:sz="8" w:space="0" w:color="000000"/>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b/>
                <w:bCs/>
                <w:sz w:val="26"/>
                <w:szCs w:val="26"/>
                <w:lang w:val="en-US"/>
              </w:rPr>
            </w:pPr>
            <w:r>
              <w:rPr>
                <w:rFonts w:cs="Times New Roman" w:ascii="Times New Roman" w:hAnsi="Times New Roman"/>
                <w:b/>
                <w:bCs/>
                <w:sz w:val="26"/>
                <w:szCs w:val="26"/>
                <w:lang w:val="en-US"/>
              </w:rPr>
              <w:t>III</w:t>
            </w:r>
          </w:p>
        </w:tc>
        <w:tc>
          <w:tcPr>
            <w:tcW w:w="4344" w:type="dxa"/>
            <w:tcBorders>
              <w:bottom w:val="single" w:sz="8" w:space="0" w:color="000000"/>
              <w:right w:val="single" w:sz="8" w:space="0" w:color="000000"/>
            </w:tcBorders>
            <w:shd w:fill="FFFFFF" w:val="clear"/>
            <w:vAlign w:val="center"/>
          </w:tcPr>
          <w:p>
            <w:pPr>
              <w:pStyle w:val="Normal"/>
              <w:widowControl w:val="false"/>
              <w:spacing w:lineRule="auto" w:line="240" w:before="120" w:after="120"/>
              <w:rPr>
                <w:rFonts w:ascii="Times New Roman" w:hAnsi="Times New Roman" w:cs="Times New Roman"/>
                <w:b/>
                <w:bCs/>
                <w:sz w:val="26"/>
                <w:szCs w:val="26"/>
                <w:lang w:val="en-US"/>
              </w:rPr>
            </w:pPr>
            <w:r>
              <w:rPr>
                <w:rFonts w:cs="Times New Roman" w:ascii="Times New Roman" w:hAnsi="Times New Roman"/>
                <w:b/>
                <w:bCs/>
                <w:sz w:val="26"/>
                <w:szCs w:val="26"/>
              </w:rPr>
              <w:t>Hệ thống kỹ thuật</w:t>
            </w:r>
          </w:p>
        </w:tc>
        <w:tc>
          <w:tcPr>
            <w:tcW w:w="1997" w:type="dxa"/>
            <w:tcBorders>
              <w:bottom w:val="single" w:sz="8" w:space="0" w:color="000000"/>
              <w:right w:val="single" w:sz="8" w:space="0" w:color="000000"/>
            </w:tcBorders>
            <w:shd w:fill="FFFFFF" w:val="clear"/>
            <w:vAlign w:val="center"/>
          </w:tcPr>
          <w:p>
            <w:pPr>
              <w:pStyle w:val="Normal"/>
              <w:widowControl w:val="false"/>
              <w:snapToGrid w:val="false"/>
              <w:spacing w:lineRule="auto" w:line="240" w:before="120" w:after="120"/>
              <w:ind w:firstLine="567" w:right="0"/>
              <w:jc w:val="center"/>
              <w:rPr>
                <w:rFonts w:ascii="Times New Roman" w:hAnsi="Times New Roman" w:cs="Times New Roman"/>
                <w:b/>
                <w:bCs/>
                <w:sz w:val="26"/>
                <w:szCs w:val="26"/>
                <w:lang w:val="en-US"/>
              </w:rPr>
            </w:pPr>
            <w:r>
              <w:rPr>
                <w:rFonts w:cs="Times New Roman" w:ascii="Times New Roman" w:hAnsi="Times New Roman"/>
                <w:b/>
                <w:bCs/>
                <w:sz w:val="26"/>
                <w:szCs w:val="26"/>
                <w:lang w:val="en-US"/>
              </w:rPr>
            </w:r>
          </w:p>
        </w:tc>
        <w:tc>
          <w:tcPr>
            <w:tcW w:w="1998" w:type="dxa"/>
            <w:tcBorders>
              <w:bottom w:val="single" w:sz="8" w:space="0" w:color="000000"/>
              <w:right w:val="single" w:sz="8" w:space="0" w:color="000000"/>
            </w:tcBorders>
            <w:shd w:fill="FFFFFF" w:val="clear"/>
            <w:vAlign w:val="center"/>
          </w:tcPr>
          <w:p>
            <w:pPr>
              <w:pStyle w:val="Normal"/>
              <w:widowControl w:val="false"/>
              <w:snapToGrid w:val="false"/>
              <w:spacing w:lineRule="auto" w:line="240" w:before="120" w:after="120"/>
              <w:ind w:firstLine="567" w:right="0"/>
              <w:jc w:val="center"/>
              <w:rPr>
                <w:rFonts w:ascii="Times New Roman" w:hAnsi="Times New Roman" w:cs="Times New Roman"/>
                <w:sz w:val="26"/>
                <w:szCs w:val="26"/>
              </w:rPr>
            </w:pPr>
            <w:r>
              <w:rPr>
                <w:rFonts w:cs="Times New Roman" w:ascii="Times New Roman" w:hAnsi="Times New Roman"/>
                <w:sz w:val="26"/>
                <w:szCs w:val="26"/>
              </w:rPr>
            </w:r>
          </w:p>
        </w:tc>
      </w:tr>
      <w:tr>
        <w:trPr>
          <w:trHeight w:val="497" w:hRule="atLeast"/>
        </w:trPr>
        <w:tc>
          <w:tcPr>
            <w:tcW w:w="731" w:type="dxa"/>
            <w:tcBorders>
              <w:left w:val="single" w:sz="8" w:space="0" w:color="000000"/>
              <w:bottom w:val="single" w:sz="8" w:space="0" w:color="000000"/>
              <w:right w:val="single" w:sz="8" w:space="0" w:color="000000"/>
            </w:tcBorders>
            <w:shd w:fill="FFFFFF" w:val="clear"/>
            <w:vAlign w:val="center"/>
          </w:tcPr>
          <w:p>
            <w:pPr>
              <w:pStyle w:val="Normal"/>
              <w:widowControl w:val="false"/>
              <w:snapToGrid w:val="false"/>
              <w:spacing w:lineRule="auto" w:line="240" w:before="120" w:after="120"/>
              <w:ind w:firstLine="567" w:right="0"/>
              <w:jc w:val="center"/>
              <w:rPr>
                <w:rFonts w:ascii="Times New Roman" w:hAnsi="Times New Roman" w:cs="Times New Roman"/>
                <w:b/>
                <w:bCs/>
                <w:sz w:val="26"/>
                <w:szCs w:val="26"/>
                <w:lang w:val="en-US"/>
              </w:rPr>
            </w:pPr>
            <w:r>
              <w:rPr>
                <w:rFonts w:cs="Times New Roman" w:ascii="Times New Roman" w:hAnsi="Times New Roman"/>
                <w:b/>
                <w:bCs/>
                <w:sz w:val="26"/>
                <w:szCs w:val="26"/>
                <w:lang w:val="en-US"/>
              </w:rPr>
            </w:r>
          </w:p>
        </w:tc>
        <w:tc>
          <w:tcPr>
            <w:tcW w:w="4344" w:type="dxa"/>
            <w:tcBorders>
              <w:bottom w:val="single" w:sz="8" w:space="0" w:color="000000"/>
              <w:right w:val="single" w:sz="8" w:space="0" w:color="000000"/>
            </w:tcBorders>
            <w:shd w:fill="FFFFFF" w:val="clear"/>
            <w:vAlign w:val="center"/>
          </w:tcPr>
          <w:p>
            <w:pPr>
              <w:pStyle w:val="Normal"/>
              <w:widowControl w:val="false"/>
              <w:spacing w:lineRule="auto" w:line="240" w:before="120" w:after="120"/>
              <w:rPr>
                <w:rFonts w:ascii="Times New Roman" w:hAnsi="Times New Roman" w:cs="Times New Roman"/>
                <w:sz w:val="26"/>
                <w:szCs w:val="26"/>
                <w:lang w:val="en-US"/>
              </w:rPr>
            </w:pPr>
            <w:r>
              <w:rPr>
                <w:rFonts w:cs="Times New Roman" w:ascii="Times New Roman" w:hAnsi="Times New Roman"/>
                <w:sz w:val="26"/>
                <w:szCs w:val="26"/>
              </w:rPr>
              <w:t xml:space="preserve">Hệ thống </w:t>
            </w:r>
            <w:r>
              <w:rPr>
                <w:rFonts w:cs="Times New Roman" w:ascii="Times New Roman" w:hAnsi="Times New Roman"/>
                <w:sz w:val="26"/>
                <w:szCs w:val="26"/>
                <w:lang w:val="en-US"/>
              </w:rPr>
              <w:t>công trình giao thông</w:t>
            </w:r>
          </w:p>
        </w:tc>
        <w:tc>
          <w:tcPr>
            <w:tcW w:w="1997" w:type="dxa"/>
            <w:tcBorders>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sz w:val="26"/>
                <w:szCs w:val="26"/>
                <w:lang w:val="en-US"/>
              </w:rPr>
            </w:pPr>
            <w:r>
              <w:rPr>
                <w:rFonts w:cs="Times New Roman" w:ascii="Times New Roman" w:hAnsi="Times New Roman"/>
                <w:sz w:val="26"/>
                <w:szCs w:val="26"/>
                <w:lang w:val="en-US"/>
              </w:rPr>
              <w:t>10 - 30</w:t>
            </w:r>
          </w:p>
        </w:tc>
        <w:tc>
          <w:tcPr>
            <w:tcW w:w="1998" w:type="dxa"/>
            <w:tcBorders>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sz w:val="26"/>
                <w:szCs w:val="26"/>
                <w:lang w:val="en-US"/>
              </w:rPr>
            </w:pPr>
            <w:r>
              <w:rPr>
                <w:rFonts w:cs="Times New Roman" w:ascii="Times New Roman" w:hAnsi="Times New Roman"/>
                <w:sz w:val="26"/>
                <w:szCs w:val="26"/>
                <w:lang w:val="en-US"/>
              </w:rPr>
              <w:t>3,33 - 10</w:t>
            </w:r>
          </w:p>
        </w:tc>
      </w:tr>
      <w:tr>
        <w:trPr>
          <w:trHeight w:val="507" w:hRule="atLeast"/>
        </w:trPr>
        <w:tc>
          <w:tcPr>
            <w:tcW w:w="731" w:type="dxa"/>
            <w:tcBorders>
              <w:left w:val="single" w:sz="8" w:space="0" w:color="000000"/>
              <w:bottom w:val="single" w:sz="8" w:space="0" w:color="000000"/>
              <w:right w:val="single" w:sz="8" w:space="0" w:color="000000"/>
            </w:tcBorders>
            <w:shd w:fill="FFFFFF" w:val="clear"/>
            <w:vAlign w:val="center"/>
          </w:tcPr>
          <w:p>
            <w:pPr>
              <w:pStyle w:val="Normal"/>
              <w:widowControl w:val="false"/>
              <w:snapToGrid w:val="false"/>
              <w:spacing w:lineRule="auto" w:line="240" w:before="120" w:after="120"/>
              <w:ind w:firstLine="567" w:right="0"/>
              <w:jc w:val="center"/>
              <w:rPr>
                <w:rFonts w:ascii="Times New Roman" w:hAnsi="Times New Roman" w:cs="Times New Roman"/>
                <w:b/>
                <w:bCs/>
                <w:sz w:val="26"/>
                <w:szCs w:val="26"/>
                <w:lang w:val="en-US"/>
              </w:rPr>
            </w:pPr>
            <w:r>
              <w:rPr>
                <w:rFonts w:cs="Times New Roman" w:ascii="Times New Roman" w:hAnsi="Times New Roman"/>
                <w:b/>
                <w:bCs/>
                <w:sz w:val="26"/>
                <w:szCs w:val="26"/>
                <w:lang w:val="en-US"/>
              </w:rPr>
            </w:r>
          </w:p>
        </w:tc>
        <w:tc>
          <w:tcPr>
            <w:tcW w:w="4344" w:type="dxa"/>
            <w:tcBorders>
              <w:bottom w:val="single" w:sz="8" w:space="0" w:color="000000"/>
              <w:right w:val="single" w:sz="8" w:space="0" w:color="000000"/>
            </w:tcBorders>
            <w:shd w:fill="FFFFFF" w:val="clear"/>
            <w:vAlign w:val="center"/>
          </w:tcPr>
          <w:p>
            <w:pPr>
              <w:pStyle w:val="Normal"/>
              <w:widowControl w:val="false"/>
              <w:spacing w:lineRule="auto" w:line="240" w:before="120" w:after="120"/>
              <w:rPr>
                <w:rFonts w:ascii="Times New Roman" w:hAnsi="Times New Roman" w:cs="Times New Roman"/>
                <w:sz w:val="26"/>
                <w:szCs w:val="26"/>
              </w:rPr>
            </w:pPr>
            <w:r>
              <w:rPr>
                <w:rFonts w:cs="Times New Roman" w:ascii="Times New Roman" w:hAnsi="Times New Roman"/>
                <w:sz w:val="26"/>
                <w:szCs w:val="26"/>
              </w:rPr>
              <w:t>Hệ thống cấp thoát nước</w:t>
            </w:r>
          </w:p>
        </w:tc>
        <w:tc>
          <w:tcPr>
            <w:tcW w:w="1997" w:type="dxa"/>
            <w:tcBorders>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sz w:val="26"/>
                <w:szCs w:val="26"/>
                <w:lang w:val="en-US"/>
              </w:rPr>
            </w:pPr>
            <w:r>
              <w:rPr>
                <w:rFonts w:cs="Times New Roman" w:ascii="Times New Roman" w:hAnsi="Times New Roman"/>
                <w:sz w:val="26"/>
                <w:szCs w:val="26"/>
                <w:lang w:val="en-US"/>
              </w:rPr>
              <w:t>10 - 30</w:t>
            </w:r>
          </w:p>
        </w:tc>
        <w:tc>
          <w:tcPr>
            <w:tcW w:w="1998" w:type="dxa"/>
            <w:tcBorders>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sz w:val="26"/>
                <w:szCs w:val="26"/>
                <w:lang w:val="en-US"/>
              </w:rPr>
            </w:pPr>
            <w:r>
              <w:rPr>
                <w:rFonts w:cs="Times New Roman" w:ascii="Times New Roman" w:hAnsi="Times New Roman"/>
                <w:sz w:val="26"/>
                <w:szCs w:val="26"/>
                <w:lang w:val="en-US"/>
              </w:rPr>
              <w:t>3,33 - 10</w:t>
            </w:r>
          </w:p>
        </w:tc>
      </w:tr>
      <w:tr>
        <w:trPr>
          <w:trHeight w:val="531" w:hRule="atLeast"/>
        </w:trPr>
        <w:tc>
          <w:tcPr>
            <w:tcW w:w="731" w:type="dxa"/>
            <w:tcBorders>
              <w:left w:val="single" w:sz="8" w:space="0" w:color="000000"/>
              <w:bottom w:val="single" w:sz="8" w:space="0" w:color="000000"/>
              <w:right w:val="single" w:sz="8" w:space="0" w:color="000000"/>
            </w:tcBorders>
            <w:shd w:fill="FFFFFF" w:val="clear"/>
            <w:vAlign w:val="center"/>
          </w:tcPr>
          <w:p>
            <w:pPr>
              <w:pStyle w:val="Normal"/>
              <w:widowControl w:val="false"/>
              <w:snapToGrid w:val="false"/>
              <w:spacing w:lineRule="auto" w:line="240" w:before="120" w:after="120"/>
              <w:ind w:firstLine="567" w:right="0"/>
              <w:jc w:val="center"/>
              <w:rPr>
                <w:rFonts w:ascii="Times New Roman" w:hAnsi="Times New Roman" w:cs="Times New Roman"/>
                <w:b/>
                <w:bCs/>
                <w:sz w:val="26"/>
                <w:szCs w:val="26"/>
                <w:lang w:val="en-US"/>
              </w:rPr>
            </w:pPr>
            <w:r>
              <w:rPr>
                <w:rFonts w:cs="Times New Roman" w:ascii="Times New Roman" w:hAnsi="Times New Roman"/>
                <w:b/>
                <w:bCs/>
                <w:sz w:val="26"/>
                <w:szCs w:val="26"/>
                <w:lang w:val="en-US"/>
              </w:rPr>
            </w:r>
          </w:p>
        </w:tc>
        <w:tc>
          <w:tcPr>
            <w:tcW w:w="4344" w:type="dxa"/>
            <w:tcBorders>
              <w:bottom w:val="single" w:sz="8" w:space="0" w:color="000000"/>
              <w:right w:val="single" w:sz="8" w:space="0" w:color="000000"/>
            </w:tcBorders>
            <w:shd w:fill="FFFFFF" w:val="clear"/>
            <w:vAlign w:val="center"/>
          </w:tcPr>
          <w:p>
            <w:pPr>
              <w:pStyle w:val="Normal"/>
              <w:widowControl w:val="false"/>
              <w:spacing w:lineRule="auto" w:line="240" w:before="120" w:after="120"/>
              <w:rPr>
                <w:rFonts w:ascii="Times New Roman" w:hAnsi="Times New Roman" w:cs="Times New Roman"/>
                <w:sz w:val="26"/>
                <w:szCs w:val="26"/>
              </w:rPr>
            </w:pPr>
            <w:r>
              <w:rPr>
                <w:rFonts w:cs="Times New Roman" w:ascii="Times New Roman" w:hAnsi="Times New Roman"/>
                <w:sz w:val="26"/>
                <w:szCs w:val="26"/>
              </w:rPr>
              <w:t>Hệ thống điện</w:t>
            </w:r>
          </w:p>
        </w:tc>
        <w:tc>
          <w:tcPr>
            <w:tcW w:w="1997" w:type="dxa"/>
            <w:tcBorders>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sz w:val="26"/>
                <w:szCs w:val="26"/>
                <w:lang w:val="en-US"/>
              </w:rPr>
            </w:pPr>
            <w:r>
              <w:rPr>
                <w:rFonts w:cs="Times New Roman" w:ascii="Times New Roman" w:hAnsi="Times New Roman"/>
                <w:sz w:val="26"/>
                <w:szCs w:val="26"/>
                <w:lang w:val="en-US"/>
              </w:rPr>
              <w:t>5 - 10</w:t>
            </w:r>
          </w:p>
        </w:tc>
        <w:tc>
          <w:tcPr>
            <w:tcW w:w="1998" w:type="dxa"/>
            <w:tcBorders>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sz w:val="26"/>
                <w:szCs w:val="26"/>
                <w:lang w:val="en-US"/>
              </w:rPr>
            </w:pPr>
            <w:r>
              <w:rPr>
                <w:rFonts w:cs="Times New Roman" w:ascii="Times New Roman" w:hAnsi="Times New Roman"/>
                <w:sz w:val="26"/>
                <w:szCs w:val="26"/>
                <w:lang w:val="en-US"/>
              </w:rPr>
              <w:t>10 - 20</w:t>
            </w:r>
          </w:p>
        </w:tc>
      </w:tr>
      <w:tr>
        <w:trPr>
          <w:trHeight w:val="397" w:hRule="atLeast"/>
        </w:trPr>
        <w:tc>
          <w:tcPr>
            <w:tcW w:w="731" w:type="dxa"/>
            <w:tcBorders>
              <w:left w:val="single" w:sz="8" w:space="0" w:color="000000"/>
              <w:bottom w:val="single" w:sz="8" w:space="0" w:color="000000"/>
              <w:right w:val="single" w:sz="8" w:space="0" w:color="000000"/>
            </w:tcBorders>
            <w:shd w:fill="FFFFFF" w:val="clear"/>
            <w:vAlign w:val="center"/>
          </w:tcPr>
          <w:p>
            <w:pPr>
              <w:pStyle w:val="Normal"/>
              <w:widowControl w:val="false"/>
              <w:snapToGrid w:val="false"/>
              <w:spacing w:lineRule="auto" w:line="240" w:before="120" w:after="120"/>
              <w:ind w:firstLine="567" w:right="0"/>
              <w:jc w:val="center"/>
              <w:rPr>
                <w:rFonts w:ascii="Times New Roman" w:hAnsi="Times New Roman" w:cs="Times New Roman"/>
                <w:b/>
                <w:bCs/>
                <w:sz w:val="26"/>
                <w:szCs w:val="26"/>
                <w:lang w:val="en-US"/>
              </w:rPr>
            </w:pPr>
            <w:r>
              <w:rPr>
                <w:rFonts w:cs="Times New Roman" w:ascii="Times New Roman" w:hAnsi="Times New Roman"/>
                <w:b/>
                <w:bCs/>
                <w:sz w:val="26"/>
                <w:szCs w:val="26"/>
                <w:lang w:val="en-US"/>
              </w:rPr>
            </w:r>
          </w:p>
        </w:tc>
        <w:tc>
          <w:tcPr>
            <w:tcW w:w="4344" w:type="dxa"/>
            <w:tcBorders>
              <w:bottom w:val="single" w:sz="8" w:space="0" w:color="000000"/>
              <w:right w:val="single" w:sz="8" w:space="0" w:color="000000"/>
            </w:tcBorders>
            <w:shd w:fill="FFFFFF" w:val="clear"/>
            <w:vAlign w:val="center"/>
          </w:tcPr>
          <w:p>
            <w:pPr>
              <w:pStyle w:val="Normal"/>
              <w:widowControl w:val="false"/>
              <w:spacing w:lineRule="auto" w:line="240" w:before="120" w:after="120"/>
              <w:rPr>
                <w:rFonts w:ascii="Times New Roman" w:hAnsi="Times New Roman" w:cs="Times New Roman"/>
                <w:sz w:val="26"/>
                <w:szCs w:val="26"/>
              </w:rPr>
            </w:pPr>
            <w:r>
              <w:rPr>
                <w:rFonts w:cs="Times New Roman" w:ascii="Times New Roman" w:hAnsi="Times New Roman"/>
                <w:sz w:val="26"/>
                <w:szCs w:val="26"/>
              </w:rPr>
              <w:t>Hệ thống thông tin</w:t>
            </w:r>
          </w:p>
        </w:tc>
        <w:tc>
          <w:tcPr>
            <w:tcW w:w="1997" w:type="dxa"/>
            <w:tcBorders>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sz w:val="26"/>
                <w:szCs w:val="26"/>
                <w:lang w:val="en-US"/>
              </w:rPr>
            </w:pPr>
            <w:r>
              <w:rPr>
                <w:rFonts w:cs="Times New Roman" w:ascii="Times New Roman" w:hAnsi="Times New Roman"/>
                <w:sz w:val="26"/>
                <w:szCs w:val="26"/>
                <w:lang w:val="en-US"/>
              </w:rPr>
              <w:t>5 - 10</w:t>
            </w:r>
          </w:p>
        </w:tc>
        <w:tc>
          <w:tcPr>
            <w:tcW w:w="1998" w:type="dxa"/>
            <w:tcBorders>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sz w:val="26"/>
                <w:szCs w:val="26"/>
                <w:lang w:val="en-US"/>
              </w:rPr>
            </w:pPr>
            <w:r>
              <w:rPr>
                <w:rFonts w:cs="Times New Roman" w:ascii="Times New Roman" w:hAnsi="Times New Roman"/>
                <w:sz w:val="26"/>
                <w:szCs w:val="26"/>
                <w:lang w:val="en-US"/>
              </w:rPr>
              <w:t>10 - 20</w:t>
            </w:r>
          </w:p>
        </w:tc>
      </w:tr>
      <w:tr>
        <w:trPr>
          <w:trHeight w:val="402" w:hRule="atLeast"/>
        </w:trPr>
        <w:tc>
          <w:tcPr>
            <w:tcW w:w="731" w:type="dxa"/>
            <w:tcBorders>
              <w:left w:val="single" w:sz="8" w:space="0" w:color="000000"/>
              <w:bottom w:val="single" w:sz="8" w:space="0" w:color="000000"/>
              <w:right w:val="single" w:sz="8" w:space="0" w:color="000000"/>
            </w:tcBorders>
            <w:shd w:fill="FFFFFF" w:val="clear"/>
            <w:vAlign w:val="center"/>
          </w:tcPr>
          <w:p>
            <w:pPr>
              <w:pStyle w:val="Normal"/>
              <w:widowControl w:val="false"/>
              <w:snapToGrid w:val="false"/>
              <w:spacing w:lineRule="auto" w:line="240" w:before="120" w:after="120"/>
              <w:ind w:firstLine="567" w:right="0"/>
              <w:jc w:val="center"/>
              <w:rPr>
                <w:rFonts w:ascii="Times New Roman" w:hAnsi="Times New Roman" w:cs="Times New Roman"/>
                <w:sz w:val="26"/>
                <w:szCs w:val="26"/>
                <w:lang w:val="en-US"/>
              </w:rPr>
            </w:pPr>
            <w:r>
              <w:rPr>
                <w:rFonts w:cs="Times New Roman" w:ascii="Times New Roman" w:hAnsi="Times New Roman"/>
                <w:sz w:val="26"/>
                <w:szCs w:val="26"/>
                <w:lang w:val="en-US"/>
              </w:rPr>
            </w:r>
          </w:p>
        </w:tc>
        <w:tc>
          <w:tcPr>
            <w:tcW w:w="4344" w:type="dxa"/>
            <w:tcBorders>
              <w:bottom w:val="single" w:sz="8" w:space="0" w:color="000000"/>
              <w:right w:val="single" w:sz="8" w:space="0" w:color="000000"/>
            </w:tcBorders>
            <w:shd w:fill="FFFFFF" w:val="clear"/>
            <w:vAlign w:val="center"/>
          </w:tcPr>
          <w:p>
            <w:pPr>
              <w:pStyle w:val="Normal"/>
              <w:widowControl w:val="false"/>
              <w:spacing w:lineRule="auto" w:line="240" w:before="120" w:after="120"/>
              <w:rPr>
                <w:rFonts w:ascii="Times New Roman" w:hAnsi="Times New Roman" w:cs="Times New Roman"/>
                <w:sz w:val="26"/>
                <w:szCs w:val="26"/>
              </w:rPr>
            </w:pPr>
            <w:r>
              <w:rPr>
                <w:rFonts w:cs="Times New Roman" w:ascii="Times New Roman" w:hAnsi="Times New Roman"/>
                <w:sz w:val="26"/>
                <w:szCs w:val="26"/>
              </w:rPr>
              <w:t>Hệ thống camera quan sát</w:t>
            </w:r>
          </w:p>
        </w:tc>
        <w:tc>
          <w:tcPr>
            <w:tcW w:w="1997" w:type="dxa"/>
            <w:tcBorders>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sz w:val="26"/>
                <w:szCs w:val="26"/>
                <w:lang w:val="en-US"/>
              </w:rPr>
            </w:pPr>
            <w:r>
              <w:rPr>
                <w:rFonts w:cs="Times New Roman" w:ascii="Times New Roman" w:hAnsi="Times New Roman"/>
                <w:sz w:val="26"/>
                <w:szCs w:val="26"/>
                <w:lang w:val="en-US"/>
              </w:rPr>
              <w:t>5 - 10</w:t>
            </w:r>
          </w:p>
        </w:tc>
        <w:tc>
          <w:tcPr>
            <w:tcW w:w="1998" w:type="dxa"/>
            <w:tcBorders>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sz w:val="26"/>
                <w:szCs w:val="26"/>
                <w:lang w:val="en-US"/>
              </w:rPr>
            </w:pPr>
            <w:r>
              <w:rPr>
                <w:rFonts w:cs="Times New Roman" w:ascii="Times New Roman" w:hAnsi="Times New Roman"/>
                <w:sz w:val="26"/>
                <w:szCs w:val="26"/>
                <w:lang w:val="en-US"/>
              </w:rPr>
              <w:t>10 - 20</w:t>
            </w:r>
          </w:p>
        </w:tc>
      </w:tr>
      <w:tr>
        <w:trPr>
          <w:trHeight w:val="409" w:hRule="atLeast"/>
        </w:trPr>
        <w:tc>
          <w:tcPr>
            <w:tcW w:w="731" w:type="dxa"/>
            <w:tcBorders>
              <w:left w:val="single" w:sz="8" w:space="0" w:color="000000"/>
              <w:bottom w:val="single" w:sz="8" w:space="0" w:color="000000"/>
              <w:right w:val="single" w:sz="8" w:space="0" w:color="000000"/>
            </w:tcBorders>
            <w:shd w:fill="FFFFFF" w:val="clear"/>
            <w:vAlign w:val="center"/>
          </w:tcPr>
          <w:p>
            <w:pPr>
              <w:pStyle w:val="Normal"/>
              <w:widowControl w:val="false"/>
              <w:snapToGrid w:val="false"/>
              <w:spacing w:lineRule="auto" w:line="240" w:before="120" w:after="120"/>
              <w:ind w:firstLine="567" w:right="0"/>
              <w:jc w:val="center"/>
              <w:rPr>
                <w:rFonts w:ascii="Times New Roman" w:hAnsi="Times New Roman" w:cs="Times New Roman"/>
                <w:sz w:val="26"/>
                <w:szCs w:val="26"/>
                <w:lang w:val="en-US"/>
              </w:rPr>
            </w:pPr>
            <w:r>
              <w:rPr>
                <w:rFonts w:cs="Times New Roman" w:ascii="Times New Roman" w:hAnsi="Times New Roman"/>
                <w:sz w:val="26"/>
                <w:szCs w:val="26"/>
                <w:lang w:val="en-US"/>
              </w:rPr>
            </w:r>
          </w:p>
        </w:tc>
        <w:tc>
          <w:tcPr>
            <w:tcW w:w="4344" w:type="dxa"/>
            <w:tcBorders>
              <w:bottom w:val="single" w:sz="8" w:space="0" w:color="000000"/>
              <w:right w:val="single" w:sz="8" w:space="0" w:color="000000"/>
            </w:tcBorders>
            <w:shd w:fill="FFFFFF" w:val="clear"/>
            <w:vAlign w:val="center"/>
          </w:tcPr>
          <w:p>
            <w:pPr>
              <w:pStyle w:val="Normal"/>
              <w:widowControl w:val="false"/>
              <w:spacing w:lineRule="auto" w:line="240" w:before="120" w:after="120"/>
              <w:rPr>
                <w:rFonts w:ascii="Times New Roman" w:hAnsi="Times New Roman" w:cs="Times New Roman"/>
                <w:sz w:val="26"/>
                <w:szCs w:val="26"/>
              </w:rPr>
            </w:pPr>
            <w:r>
              <w:rPr>
                <w:rFonts w:cs="Times New Roman" w:ascii="Times New Roman" w:hAnsi="Times New Roman"/>
                <w:sz w:val="26"/>
                <w:szCs w:val="26"/>
              </w:rPr>
              <w:t>Hệ thống thông gió và điều hòa không khí</w:t>
            </w:r>
          </w:p>
        </w:tc>
        <w:tc>
          <w:tcPr>
            <w:tcW w:w="1997" w:type="dxa"/>
            <w:tcBorders>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sz w:val="26"/>
                <w:szCs w:val="26"/>
                <w:lang w:val="en-US"/>
              </w:rPr>
            </w:pPr>
            <w:r>
              <w:rPr>
                <w:rFonts w:cs="Times New Roman" w:ascii="Times New Roman" w:hAnsi="Times New Roman"/>
                <w:sz w:val="26"/>
                <w:szCs w:val="26"/>
                <w:lang w:val="en-US"/>
              </w:rPr>
              <w:t>5 - 10</w:t>
            </w:r>
          </w:p>
        </w:tc>
        <w:tc>
          <w:tcPr>
            <w:tcW w:w="1998" w:type="dxa"/>
            <w:tcBorders>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sz w:val="26"/>
                <w:szCs w:val="26"/>
                <w:lang w:val="en-US"/>
              </w:rPr>
            </w:pPr>
            <w:r>
              <w:rPr>
                <w:rFonts w:cs="Times New Roman" w:ascii="Times New Roman" w:hAnsi="Times New Roman"/>
                <w:sz w:val="26"/>
                <w:szCs w:val="26"/>
                <w:lang w:val="en-US"/>
              </w:rPr>
              <w:t>10 - 20</w:t>
            </w:r>
          </w:p>
        </w:tc>
      </w:tr>
      <w:tr>
        <w:trPr>
          <w:trHeight w:val="401" w:hRule="atLeast"/>
        </w:trPr>
        <w:tc>
          <w:tcPr>
            <w:tcW w:w="731" w:type="dxa"/>
            <w:tcBorders>
              <w:left w:val="single" w:sz="8" w:space="0" w:color="000000"/>
              <w:bottom w:val="single" w:sz="8" w:space="0" w:color="000000"/>
              <w:right w:val="single" w:sz="8" w:space="0" w:color="000000"/>
            </w:tcBorders>
            <w:shd w:fill="FFFFFF" w:val="clear"/>
            <w:vAlign w:val="center"/>
          </w:tcPr>
          <w:p>
            <w:pPr>
              <w:pStyle w:val="Normal"/>
              <w:widowControl w:val="false"/>
              <w:snapToGrid w:val="false"/>
              <w:spacing w:lineRule="auto" w:line="240" w:before="120" w:after="120"/>
              <w:ind w:firstLine="567" w:right="0"/>
              <w:jc w:val="center"/>
              <w:rPr>
                <w:rFonts w:ascii="Times New Roman" w:hAnsi="Times New Roman" w:cs="Times New Roman"/>
                <w:sz w:val="26"/>
                <w:szCs w:val="26"/>
                <w:lang w:val="en-US"/>
              </w:rPr>
            </w:pPr>
            <w:r>
              <w:rPr>
                <w:rFonts w:cs="Times New Roman" w:ascii="Times New Roman" w:hAnsi="Times New Roman"/>
                <w:sz w:val="26"/>
                <w:szCs w:val="26"/>
                <w:lang w:val="en-US"/>
              </w:rPr>
            </w:r>
          </w:p>
        </w:tc>
        <w:tc>
          <w:tcPr>
            <w:tcW w:w="4344" w:type="dxa"/>
            <w:tcBorders>
              <w:bottom w:val="single" w:sz="8" w:space="0" w:color="000000"/>
              <w:right w:val="single" w:sz="8" w:space="0" w:color="000000"/>
            </w:tcBorders>
            <w:shd w:fill="FFFFFF" w:val="clear"/>
            <w:vAlign w:val="center"/>
          </w:tcPr>
          <w:p>
            <w:pPr>
              <w:pStyle w:val="Normal"/>
              <w:widowControl w:val="false"/>
              <w:spacing w:lineRule="auto" w:line="240" w:before="120" w:after="120"/>
              <w:rPr>
                <w:rFonts w:ascii="Times New Roman" w:hAnsi="Times New Roman" w:cs="Times New Roman"/>
                <w:sz w:val="26"/>
                <w:szCs w:val="26"/>
              </w:rPr>
            </w:pPr>
            <w:r>
              <w:rPr>
                <w:rFonts w:cs="Times New Roman" w:ascii="Times New Roman" w:hAnsi="Times New Roman"/>
                <w:sz w:val="26"/>
                <w:szCs w:val="26"/>
              </w:rPr>
              <w:t>Hệ thống phòng cháy chữa cháy</w:t>
            </w:r>
          </w:p>
        </w:tc>
        <w:tc>
          <w:tcPr>
            <w:tcW w:w="1997" w:type="dxa"/>
            <w:tcBorders>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sz w:val="26"/>
                <w:szCs w:val="26"/>
                <w:lang w:val="en-US"/>
              </w:rPr>
            </w:pPr>
            <w:r>
              <w:rPr>
                <w:rFonts w:cs="Times New Roman" w:ascii="Times New Roman" w:hAnsi="Times New Roman"/>
                <w:sz w:val="26"/>
                <w:szCs w:val="26"/>
                <w:lang w:val="en-US"/>
              </w:rPr>
              <w:t>5 - 10</w:t>
            </w:r>
          </w:p>
        </w:tc>
        <w:tc>
          <w:tcPr>
            <w:tcW w:w="1998" w:type="dxa"/>
            <w:tcBorders>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sz w:val="26"/>
                <w:szCs w:val="26"/>
                <w:lang w:val="en-US"/>
              </w:rPr>
            </w:pPr>
            <w:r>
              <w:rPr>
                <w:rFonts w:cs="Times New Roman" w:ascii="Times New Roman" w:hAnsi="Times New Roman"/>
                <w:sz w:val="26"/>
                <w:szCs w:val="26"/>
                <w:lang w:val="en-US"/>
              </w:rPr>
              <w:t>10 - 20</w:t>
            </w:r>
          </w:p>
        </w:tc>
      </w:tr>
      <w:tr>
        <w:trPr>
          <w:trHeight w:val="406" w:hRule="atLeast"/>
        </w:trPr>
        <w:tc>
          <w:tcPr>
            <w:tcW w:w="731" w:type="dxa"/>
            <w:tcBorders>
              <w:left w:val="single" w:sz="8" w:space="0" w:color="000000"/>
              <w:bottom w:val="single" w:sz="8" w:space="0" w:color="000000"/>
              <w:right w:val="single" w:sz="8" w:space="0" w:color="000000"/>
            </w:tcBorders>
            <w:shd w:fill="FFFFFF" w:val="clear"/>
            <w:vAlign w:val="center"/>
          </w:tcPr>
          <w:p>
            <w:pPr>
              <w:pStyle w:val="Normal"/>
              <w:widowControl w:val="false"/>
              <w:snapToGrid w:val="false"/>
              <w:spacing w:lineRule="auto" w:line="240" w:before="120" w:after="120"/>
              <w:ind w:firstLine="567" w:right="0"/>
              <w:jc w:val="center"/>
              <w:rPr>
                <w:rFonts w:ascii="Times New Roman" w:hAnsi="Times New Roman" w:cs="Times New Roman"/>
                <w:sz w:val="26"/>
                <w:szCs w:val="26"/>
                <w:lang w:val="en-US"/>
              </w:rPr>
            </w:pPr>
            <w:r>
              <w:rPr>
                <w:rFonts w:cs="Times New Roman" w:ascii="Times New Roman" w:hAnsi="Times New Roman"/>
                <w:sz w:val="26"/>
                <w:szCs w:val="26"/>
                <w:lang w:val="en-US"/>
              </w:rPr>
            </w:r>
          </w:p>
        </w:tc>
        <w:tc>
          <w:tcPr>
            <w:tcW w:w="4344" w:type="dxa"/>
            <w:tcBorders>
              <w:bottom w:val="single" w:sz="8" w:space="0" w:color="000000"/>
              <w:right w:val="single" w:sz="8" w:space="0" w:color="000000"/>
            </w:tcBorders>
            <w:shd w:fill="FFFFFF" w:val="clear"/>
            <w:vAlign w:val="center"/>
          </w:tcPr>
          <w:p>
            <w:pPr>
              <w:pStyle w:val="Normal"/>
              <w:widowControl w:val="false"/>
              <w:spacing w:lineRule="auto" w:line="240" w:before="120" w:after="120"/>
              <w:rPr>
                <w:rFonts w:ascii="Times New Roman" w:hAnsi="Times New Roman" w:cs="Times New Roman"/>
                <w:sz w:val="26"/>
                <w:szCs w:val="26"/>
              </w:rPr>
            </w:pPr>
            <w:r>
              <w:rPr>
                <w:rFonts w:cs="Times New Roman" w:ascii="Times New Roman" w:hAnsi="Times New Roman"/>
                <w:sz w:val="26"/>
                <w:szCs w:val="26"/>
              </w:rPr>
              <w:t>Hệ thống thu gom rác thải</w:t>
            </w:r>
          </w:p>
        </w:tc>
        <w:tc>
          <w:tcPr>
            <w:tcW w:w="1997" w:type="dxa"/>
            <w:tcBorders>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sz w:val="26"/>
                <w:szCs w:val="26"/>
                <w:lang w:val="en-US"/>
              </w:rPr>
            </w:pPr>
            <w:r>
              <w:rPr>
                <w:rFonts w:cs="Times New Roman" w:ascii="Times New Roman" w:hAnsi="Times New Roman"/>
                <w:sz w:val="26"/>
                <w:szCs w:val="26"/>
                <w:lang w:val="en-US"/>
              </w:rPr>
              <w:t>5 - 10</w:t>
            </w:r>
          </w:p>
        </w:tc>
        <w:tc>
          <w:tcPr>
            <w:tcW w:w="1998" w:type="dxa"/>
            <w:tcBorders>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sz w:val="26"/>
                <w:szCs w:val="26"/>
                <w:lang w:val="en-US"/>
              </w:rPr>
            </w:pPr>
            <w:r>
              <w:rPr>
                <w:rFonts w:cs="Times New Roman" w:ascii="Times New Roman" w:hAnsi="Times New Roman"/>
                <w:sz w:val="26"/>
                <w:szCs w:val="26"/>
                <w:lang w:val="en-US"/>
              </w:rPr>
              <w:t>10 - 20</w:t>
            </w:r>
          </w:p>
        </w:tc>
      </w:tr>
      <w:tr>
        <w:trPr>
          <w:trHeight w:val="283" w:hRule="atLeast"/>
        </w:trPr>
        <w:tc>
          <w:tcPr>
            <w:tcW w:w="731" w:type="dxa"/>
            <w:tcBorders>
              <w:left w:val="single" w:sz="8" w:space="0" w:color="000000"/>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b/>
                <w:bCs/>
                <w:sz w:val="26"/>
                <w:szCs w:val="26"/>
                <w:lang w:val="en-US"/>
              </w:rPr>
            </w:pPr>
            <w:r>
              <w:rPr>
                <w:rFonts w:cs="Times New Roman" w:ascii="Times New Roman" w:hAnsi="Times New Roman"/>
                <w:b/>
                <w:bCs/>
                <w:sz w:val="26"/>
                <w:szCs w:val="26"/>
                <w:lang w:val="en-US"/>
              </w:rPr>
              <w:t>IV</w:t>
            </w:r>
          </w:p>
        </w:tc>
        <w:tc>
          <w:tcPr>
            <w:tcW w:w="4344" w:type="dxa"/>
            <w:tcBorders>
              <w:bottom w:val="single" w:sz="8" w:space="0" w:color="000000"/>
              <w:right w:val="single" w:sz="8" w:space="0" w:color="000000"/>
            </w:tcBorders>
            <w:shd w:fill="FFFFFF" w:val="clear"/>
            <w:vAlign w:val="center"/>
          </w:tcPr>
          <w:p>
            <w:pPr>
              <w:pStyle w:val="Normal"/>
              <w:widowControl w:val="false"/>
              <w:spacing w:lineRule="auto" w:line="240" w:before="120" w:after="120"/>
              <w:rPr>
                <w:rFonts w:ascii="Times New Roman" w:hAnsi="Times New Roman" w:cs="Times New Roman"/>
                <w:b/>
                <w:bCs/>
                <w:sz w:val="26"/>
                <w:szCs w:val="26"/>
                <w:lang w:val="en-US"/>
              </w:rPr>
            </w:pPr>
            <w:r>
              <w:rPr>
                <w:rFonts w:cs="Times New Roman" w:ascii="Times New Roman" w:hAnsi="Times New Roman"/>
                <w:b/>
                <w:bCs/>
                <w:sz w:val="26"/>
                <w:szCs w:val="26"/>
                <w:lang w:val="en-US"/>
              </w:rPr>
              <w:t>Các công trình khác trong phạm vi chợ</w:t>
            </w:r>
          </w:p>
        </w:tc>
        <w:tc>
          <w:tcPr>
            <w:tcW w:w="1997" w:type="dxa"/>
            <w:tcBorders>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b/>
                <w:sz w:val="26"/>
                <w:szCs w:val="26"/>
                <w:lang w:val="en-US"/>
              </w:rPr>
            </w:pPr>
            <w:r>
              <w:rPr>
                <w:rFonts w:cs="Times New Roman" w:ascii="Times New Roman" w:hAnsi="Times New Roman"/>
                <w:b/>
                <w:sz w:val="26"/>
                <w:szCs w:val="26"/>
                <w:lang w:val="en-US"/>
              </w:rPr>
              <w:t>5 - 10</w:t>
            </w:r>
          </w:p>
        </w:tc>
        <w:tc>
          <w:tcPr>
            <w:tcW w:w="1998" w:type="dxa"/>
            <w:tcBorders>
              <w:bottom w:val="single" w:sz="8" w:space="0" w:color="000000"/>
              <w:right w:val="single" w:sz="8" w:space="0" w:color="000000"/>
            </w:tcBorders>
            <w:shd w:fill="FFFFFF" w:val="clear"/>
            <w:vAlign w:val="center"/>
          </w:tcPr>
          <w:p>
            <w:pPr>
              <w:pStyle w:val="Normal"/>
              <w:widowControl w:val="false"/>
              <w:spacing w:lineRule="auto" w:line="240" w:before="120" w:after="120"/>
              <w:jc w:val="center"/>
              <w:rPr>
                <w:rFonts w:ascii="Times New Roman" w:hAnsi="Times New Roman" w:cs="Times New Roman"/>
                <w:b/>
                <w:sz w:val="26"/>
                <w:szCs w:val="26"/>
                <w:lang w:val="en-US"/>
              </w:rPr>
            </w:pPr>
            <w:r>
              <w:rPr>
                <w:rFonts w:cs="Times New Roman" w:ascii="Times New Roman" w:hAnsi="Times New Roman"/>
                <w:b/>
                <w:sz w:val="26"/>
                <w:szCs w:val="26"/>
                <w:lang w:val="en-US"/>
              </w:rPr>
              <w:t>10 - 20</w:t>
            </w:r>
          </w:p>
        </w:tc>
      </w:tr>
    </w:tbl>
    <w:p>
      <w:pPr>
        <w:pStyle w:val="Normal"/>
        <w:widowControl w:val="false"/>
        <w:spacing w:lineRule="auto" w:line="240" w:before="120" w:after="120"/>
        <w:ind w:firstLine="567" w:right="0"/>
        <w:jc w:val="both"/>
        <w:rPr>
          <w:rFonts w:ascii="Times New Roman" w:hAnsi="Times New Roman" w:eastAsia="Times New Roman" w:cs="Times New Roman"/>
          <w:b/>
          <w:bCs/>
          <w:sz w:val="4"/>
          <w:szCs w:val="28"/>
          <w:lang w:eastAsia="vi-VN"/>
        </w:rPr>
      </w:pPr>
      <w:r>
        <w:rPr>
          <w:rFonts w:eastAsia="Times New Roman" w:cs="Times New Roman" w:ascii="Times New Roman" w:hAnsi="Times New Roman"/>
          <w:b/>
          <w:bCs/>
          <w:sz w:val="4"/>
          <w:szCs w:val="28"/>
          <w:lang w:eastAsia="vi-VN"/>
        </w:rPr>
      </w:r>
    </w:p>
    <w:p>
      <w:pPr>
        <w:pStyle w:val="Normal"/>
        <w:widowControl w:val="false"/>
        <w:spacing w:lineRule="auto" w:line="240" w:before="120" w:after="120"/>
        <w:ind w:firstLine="567" w:right="0"/>
        <w:jc w:val="both"/>
        <w:rPr>
          <w:rFonts w:ascii="Times New Roman" w:hAnsi="Times New Roman" w:cs="Times New Roman"/>
          <w:bCs/>
          <w:sz w:val="28"/>
          <w:szCs w:val="28"/>
        </w:rPr>
      </w:pPr>
      <w:r>
        <w:rPr>
          <w:rFonts w:eastAsia="Times New Roman" w:cs="Times New Roman" w:ascii="Times New Roman" w:hAnsi="Times New Roman"/>
          <w:bCs/>
          <w:sz w:val="28"/>
          <w:szCs w:val="28"/>
          <w:lang w:eastAsia="vi-VN"/>
        </w:rPr>
        <w:t>3. Căn cứ vào quy mô công trình, đặc điểm kỹ thuật, tình hình kinh tế, xã hội của từng địa phương; căn cứ vào khung thời gian tính hao mòn quy định tại khoản 1, khoản 2 Điều này; trên cơ sở đề nghị của cơ quan, đơn vị được giao quản lý tài sản kết cấu hạ tầng chợ và cơ quan quản lý cấp trên</w:t>
      </w:r>
      <w:r>
        <w:rPr>
          <w:rFonts w:eastAsia="Times New Roman" w:cs="Times New Roman" w:ascii="Times New Roman" w:hAnsi="Times New Roman"/>
          <w:sz w:val="28"/>
          <w:szCs w:val="28"/>
          <w:lang w:eastAsia="vi-VN"/>
        </w:rPr>
        <w:t xml:space="preserve"> của cơ quan, đơn vị được giao quản lý tài sản kết cấu hạ tầng chợ (nếu có), </w:t>
      </w:r>
      <w:r>
        <w:rPr>
          <w:rFonts w:cs="Times New Roman" w:ascii="Times New Roman" w:hAnsi="Times New Roman"/>
          <w:sz w:val="28"/>
          <w:szCs w:val="28"/>
          <w:lang w:val="af-ZA"/>
        </w:rPr>
        <w:t>cơ quan chuyên môn về tài sản kết cấu hạ tầng chợ cấp tỉnh báo cáo Ủy ban nhân dân cấp tỉnh, cơ quan chuyên môn về tài sản kết cấu hạ tầng chợ cấp huyện báo cáo Ủy ban nhân dân cấp huyện</w:t>
      </w:r>
      <w:r>
        <w:rPr>
          <w:rFonts w:eastAsia="Times New Roman" w:cs="Times New Roman" w:ascii="Times New Roman" w:hAnsi="Times New Roman"/>
          <w:sz w:val="28"/>
          <w:szCs w:val="28"/>
          <w:lang w:eastAsia="vi-VN"/>
        </w:rPr>
        <w:t xml:space="preserve"> xem xét, quyết định hoặc phân cấp thẩm quyền quyết định thời gian tính hao mòn và tỷ lệ hao mòn cụ thể đối với trường </w:t>
      </w:r>
      <w:r>
        <w:rPr>
          <w:rFonts w:cs="Times New Roman" w:ascii="Times New Roman" w:hAnsi="Times New Roman"/>
          <w:sz w:val="28"/>
          <w:szCs w:val="28"/>
        </w:rPr>
        <w:t xml:space="preserve">hợp </w:t>
      </w:r>
      <w:r>
        <w:rPr>
          <w:rFonts w:cs="Times New Roman" w:ascii="Times New Roman" w:hAnsi="Times New Roman"/>
          <w:sz w:val="28"/>
          <w:szCs w:val="28"/>
          <w:lang w:val="af-ZA"/>
        </w:rPr>
        <w:t xml:space="preserve">đối tượng ghi sổ kế toán là hệ thống </w:t>
      </w:r>
      <w:r>
        <w:rPr>
          <w:rFonts w:cs="Times New Roman" w:ascii="Times New Roman" w:hAnsi="Times New Roman"/>
          <w:sz w:val="28"/>
          <w:szCs w:val="28"/>
        </w:rPr>
        <w:t xml:space="preserve">(theo </w:t>
      </w:r>
      <w:r>
        <w:rPr>
          <w:rFonts w:cs="Times New Roman" w:ascii="Times New Roman" w:hAnsi="Times New Roman"/>
          <w:sz w:val="28"/>
          <w:szCs w:val="28"/>
          <w:lang w:val="af-ZA"/>
        </w:rPr>
        <w:t>quy định tại khoản 1 Điều này</w:t>
      </w:r>
      <w:r>
        <w:rPr>
          <w:rFonts w:cs="Times New Roman" w:ascii="Times New Roman" w:hAnsi="Times New Roman"/>
          <w:sz w:val="28"/>
          <w:szCs w:val="28"/>
        </w:rPr>
        <w:t>)</w:t>
      </w:r>
      <w:r>
        <w:rPr>
          <w:rFonts w:cs="Times New Roman" w:ascii="Times New Roman" w:hAnsi="Times New Roman"/>
          <w:sz w:val="28"/>
          <w:szCs w:val="28"/>
          <w:lang w:val="af-ZA"/>
        </w:rPr>
        <w:t xml:space="preserve"> hoặc đối tượng ghi sổ kế toán là</w:t>
      </w:r>
      <w:r>
        <w:rPr>
          <w:rFonts w:cs="Times New Roman" w:ascii="Times New Roman" w:hAnsi="Times New Roman"/>
          <w:sz w:val="28"/>
          <w:szCs w:val="28"/>
        </w:rPr>
        <w:t xml:space="preserve"> từng tài sản độc lập (theo </w:t>
      </w:r>
      <w:r>
        <w:rPr>
          <w:rFonts w:cs="Times New Roman" w:ascii="Times New Roman" w:hAnsi="Times New Roman"/>
          <w:sz w:val="28"/>
          <w:szCs w:val="28"/>
          <w:lang w:val="af-ZA"/>
        </w:rPr>
        <w:t>quy định tại khoản 2 Điều này</w:t>
      </w:r>
      <w:r>
        <w:rPr>
          <w:rFonts w:cs="Times New Roman" w:ascii="Times New Roman" w:hAnsi="Times New Roman"/>
          <w:sz w:val="28"/>
          <w:szCs w:val="28"/>
        </w:rPr>
        <w:t>)</w:t>
      </w:r>
      <w:r>
        <w:rPr>
          <w:rFonts w:cs="Times New Roman" w:ascii="Times New Roman" w:hAnsi="Times New Roman"/>
          <w:sz w:val="28"/>
          <w:szCs w:val="28"/>
          <w:lang w:val="af-ZA"/>
        </w:rPr>
        <w:t>.</w:t>
      </w:r>
      <w:r>
        <w:rPr>
          <w:rFonts w:cs="Times New Roman" w:ascii="Times New Roman" w:hAnsi="Times New Roman"/>
          <w:bCs/>
          <w:sz w:val="28"/>
          <w:szCs w:val="28"/>
        </w:rPr>
        <w:t xml:space="preserve"> </w:t>
      </w:r>
    </w:p>
    <w:p>
      <w:pPr>
        <w:pStyle w:val="Normal"/>
        <w:widowControl w:val="false"/>
        <w:numPr>
          <w:ilvl w:val="0"/>
          <w:numId w:val="0"/>
        </w:numPr>
        <w:spacing w:lineRule="auto" w:line="240" w:before="120" w:after="120"/>
        <w:ind w:firstLine="567" w:right="0"/>
        <w:jc w:val="both"/>
        <w:outlineLvl w:val="0"/>
        <w:rPr>
          <w:rFonts w:ascii="Times New Roman" w:hAnsi="Times New Roman" w:eastAsia="Times New Roman" w:cs="Times New Roman"/>
          <w:sz w:val="28"/>
          <w:szCs w:val="28"/>
          <w:lang w:eastAsia="vi-VN"/>
        </w:rPr>
      </w:pPr>
      <w:r>
        <w:rPr>
          <w:rFonts w:eastAsia="Times New Roman" w:cs="Times New Roman" w:ascii="Times New Roman" w:hAnsi="Times New Roman"/>
          <w:b/>
          <w:bCs/>
          <w:sz w:val="28"/>
          <w:szCs w:val="28"/>
          <w:lang w:eastAsia="vi-VN"/>
        </w:rPr>
        <w:t xml:space="preserve">Điều 11. Phương pháp tính hao mòn, </w:t>
      </w:r>
      <w:r>
        <w:rPr>
          <w:rFonts w:eastAsia="Times New Roman" w:cs="Times New Roman" w:ascii="Times New Roman" w:hAnsi="Times New Roman"/>
          <w:b/>
          <w:bCs/>
          <w:sz w:val="28"/>
          <w:szCs w:val="28"/>
          <w:lang w:val="en-US" w:eastAsia="vi-VN"/>
        </w:rPr>
        <w:t xml:space="preserve">trích </w:t>
      </w:r>
      <w:r>
        <w:rPr>
          <w:rFonts w:eastAsia="Times New Roman" w:cs="Times New Roman" w:ascii="Times New Roman" w:hAnsi="Times New Roman"/>
          <w:b/>
          <w:bCs/>
          <w:sz w:val="28"/>
          <w:szCs w:val="28"/>
          <w:lang w:eastAsia="vi-VN"/>
        </w:rPr>
        <w:t>khấu hao</w:t>
      </w:r>
      <w:bookmarkEnd w:id="31"/>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1. Phương pháp tính hao mòn:</w:t>
      </w:r>
    </w:p>
    <w:p>
      <w:pPr>
        <w:pStyle w:val="Normal"/>
        <w:widowControl w:val="false"/>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a) Mức hao mòn hằng năm của tài sản kết cấu hạ tầng chợ được tính theo công thức:</w:t>
      </w:r>
    </w:p>
    <w:tbl>
      <w:tblPr>
        <w:tblW w:w="5000" w:type="pct"/>
        <w:jc w:val="left"/>
        <w:tblInd w:w="0" w:type="dxa"/>
        <w:tblLayout w:type="fixed"/>
        <w:tblCellMar>
          <w:top w:w="0" w:type="dxa"/>
          <w:left w:w="108" w:type="dxa"/>
          <w:bottom w:w="0" w:type="dxa"/>
          <w:right w:w="108" w:type="dxa"/>
        </w:tblCellMar>
      </w:tblPr>
      <w:tblGrid>
        <w:gridCol w:w="2563"/>
        <w:gridCol w:w="1376"/>
        <w:gridCol w:w="2107"/>
        <w:gridCol w:w="1099"/>
        <w:gridCol w:w="1925"/>
      </w:tblGrid>
      <w:tr>
        <w:trPr/>
        <w:tc>
          <w:tcPr>
            <w:tcW w:w="2563" w:type="dxa"/>
            <w:tcBorders/>
            <w:shd w:fill="FFFFFF" w:val="clear"/>
            <w:vAlign w:val="center"/>
          </w:tcPr>
          <w:p>
            <w:pPr>
              <w:pStyle w:val="Normal"/>
              <w:widowControl w:val="false"/>
              <w:spacing w:lineRule="auto" w:line="240" w:before="120" w:after="120"/>
              <w:jc w:val="center"/>
              <w:rPr>
                <w:rFonts w:ascii="Times New Roman" w:hAnsi="Times New Roman" w:eastAsia="Times New Roman" w:cs="Times New Roman"/>
                <w:sz w:val="26"/>
                <w:szCs w:val="26"/>
                <w:lang w:eastAsia="vi-VN"/>
              </w:rPr>
            </w:pPr>
            <w:r>
              <w:rPr>
                <w:rFonts w:eastAsia="Times New Roman" w:cs="Times New Roman" w:ascii="Times New Roman" w:hAnsi="Times New Roman"/>
                <w:sz w:val="26"/>
                <w:szCs w:val="26"/>
                <w:lang w:eastAsia="vi-VN"/>
              </w:rPr>
              <w:t>Mức hao mòn hàng năm của tài sản kết cấu hạ tầng chợ</w:t>
            </w:r>
          </w:p>
        </w:tc>
        <w:tc>
          <w:tcPr>
            <w:tcW w:w="1376" w:type="dxa"/>
            <w:tcBorders/>
            <w:shd w:fill="FFFFFF" w:val="clear"/>
            <w:vAlign w:val="center"/>
          </w:tcPr>
          <w:p>
            <w:pPr>
              <w:pStyle w:val="Normal"/>
              <w:widowControl w:val="false"/>
              <w:spacing w:lineRule="auto" w:line="240" w:before="120" w:after="120"/>
              <w:jc w:val="center"/>
              <w:rPr>
                <w:rFonts w:ascii="Times New Roman" w:hAnsi="Times New Roman" w:eastAsia="Times New Roman" w:cs="Times New Roman"/>
                <w:sz w:val="26"/>
                <w:szCs w:val="26"/>
                <w:lang w:eastAsia="vi-VN"/>
              </w:rPr>
            </w:pPr>
            <w:r>
              <w:rPr>
                <w:rFonts w:eastAsia="Times New Roman" w:cs="Times New Roman" w:ascii="Times New Roman" w:hAnsi="Times New Roman"/>
                <w:sz w:val="26"/>
                <w:szCs w:val="26"/>
                <w:lang w:eastAsia="vi-VN"/>
              </w:rPr>
              <w:t>=</w:t>
            </w:r>
          </w:p>
        </w:tc>
        <w:tc>
          <w:tcPr>
            <w:tcW w:w="2107" w:type="dxa"/>
            <w:tcBorders/>
            <w:shd w:fill="FFFFFF" w:val="clear"/>
            <w:vAlign w:val="center"/>
          </w:tcPr>
          <w:p>
            <w:pPr>
              <w:pStyle w:val="Normal"/>
              <w:widowControl w:val="false"/>
              <w:spacing w:lineRule="auto" w:line="240" w:before="120" w:after="120"/>
              <w:jc w:val="center"/>
              <w:rPr>
                <w:rFonts w:ascii="Times New Roman" w:hAnsi="Times New Roman" w:eastAsia="Times New Roman" w:cs="Times New Roman"/>
                <w:sz w:val="26"/>
                <w:szCs w:val="26"/>
                <w:lang w:eastAsia="vi-VN"/>
              </w:rPr>
            </w:pPr>
            <w:r>
              <w:rPr>
                <w:rFonts w:eastAsia="Times New Roman" w:cs="Times New Roman" w:ascii="Times New Roman" w:hAnsi="Times New Roman"/>
                <w:sz w:val="26"/>
                <w:szCs w:val="26"/>
                <w:lang w:eastAsia="vi-VN"/>
              </w:rPr>
              <w:t>Nguyên giá của tài sản kết cấu hạ tầng chợ</w:t>
            </w:r>
          </w:p>
        </w:tc>
        <w:tc>
          <w:tcPr>
            <w:tcW w:w="1099" w:type="dxa"/>
            <w:tcBorders/>
            <w:shd w:fill="FFFFFF" w:val="clear"/>
            <w:vAlign w:val="center"/>
          </w:tcPr>
          <w:p>
            <w:pPr>
              <w:pStyle w:val="Normal"/>
              <w:widowControl w:val="false"/>
              <w:spacing w:lineRule="auto" w:line="240" w:before="120" w:after="120"/>
              <w:jc w:val="center"/>
              <w:rPr>
                <w:rFonts w:ascii="Times New Roman" w:hAnsi="Times New Roman" w:eastAsia="Times New Roman" w:cs="Times New Roman"/>
                <w:sz w:val="26"/>
                <w:szCs w:val="26"/>
                <w:lang w:eastAsia="vi-VN"/>
              </w:rPr>
            </w:pPr>
            <w:r>
              <w:rPr>
                <w:rFonts w:eastAsia="Times New Roman" w:cs="Times New Roman" w:ascii="Times New Roman" w:hAnsi="Times New Roman"/>
                <w:sz w:val="26"/>
                <w:szCs w:val="26"/>
                <w:lang w:eastAsia="vi-VN"/>
              </w:rPr>
              <w:t>x</w:t>
            </w:r>
          </w:p>
        </w:tc>
        <w:tc>
          <w:tcPr>
            <w:tcW w:w="1925" w:type="dxa"/>
            <w:tcBorders/>
            <w:shd w:fill="FFFFFF" w:val="clear"/>
            <w:vAlign w:val="center"/>
          </w:tcPr>
          <w:p>
            <w:pPr>
              <w:pStyle w:val="Normal"/>
              <w:widowControl w:val="false"/>
              <w:spacing w:lineRule="auto" w:line="240" w:before="120" w:after="120"/>
              <w:jc w:val="center"/>
              <w:rPr>
                <w:rFonts w:ascii="Times New Roman" w:hAnsi="Times New Roman" w:eastAsia="Times New Roman" w:cs="Times New Roman"/>
                <w:sz w:val="26"/>
                <w:szCs w:val="26"/>
                <w:lang w:eastAsia="vi-VN"/>
              </w:rPr>
            </w:pPr>
            <w:r>
              <w:rPr>
                <w:rFonts w:eastAsia="Times New Roman" w:cs="Times New Roman" w:ascii="Times New Roman" w:hAnsi="Times New Roman"/>
                <w:sz w:val="26"/>
                <w:szCs w:val="26"/>
                <w:lang w:eastAsia="vi-VN"/>
              </w:rPr>
              <w:t>Tỷ lệ hao mòn (%/năm)</w:t>
            </w:r>
          </w:p>
        </w:tc>
      </w:tr>
    </w:tbl>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Trong đó:</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eastAsia="vi-VN"/>
        </w:rPr>
        <w:t>- Nguyên giá của tài sản kết cấu hạ tầng chợ được xác định theo quy định tại </w:t>
      </w:r>
      <w:bookmarkStart w:id="32" w:name="tc_22"/>
      <w:r>
        <w:rPr>
          <w:rFonts w:eastAsia="Times New Roman" w:cs="Times New Roman" w:ascii="Times New Roman" w:hAnsi="Times New Roman"/>
          <w:sz w:val="28"/>
          <w:szCs w:val="28"/>
          <w:lang w:eastAsia="vi-VN"/>
        </w:rPr>
        <w:t>các Điều 6, 7 và 8 Thông tư này</w:t>
      </w:r>
      <w:bookmarkEnd w:id="32"/>
      <w:r>
        <w:rPr>
          <w:rFonts w:eastAsia="Times New Roman" w:cs="Times New Roman" w:ascii="Times New Roman" w:hAnsi="Times New Roman"/>
          <w:sz w:val="28"/>
          <w:szCs w:val="28"/>
          <w:lang w:val="en-US" w:eastAsia="vi-VN"/>
        </w:rPr>
        <w:t>.</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 Tỷ lệ hao mòn được xác định theo quy định tại </w:t>
      </w:r>
      <w:bookmarkStart w:id="33" w:name="tc_23"/>
      <w:r>
        <w:rPr>
          <w:rFonts w:eastAsia="Times New Roman" w:cs="Times New Roman" w:ascii="Times New Roman" w:hAnsi="Times New Roman"/>
          <w:sz w:val="28"/>
          <w:szCs w:val="28"/>
          <w:lang w:eastAsia="vi-VN"/>
        </w:rPr>
        <w:t>Điều 10 Thông tư này</w:t>
      </w:r>
      <w:bookmarkEnd w:id="33"/>
      <w:r>
        <w:rPr>
          <w:rFonts w:eastAsia="Times New Roman" w:cs="Times New Roman" w:ascii="Times New Roman" w:hAnsi="Times New Roman"/>
          <w:sz w:val="28"/>
          <w:szCs w:val="28"/>
          <w:lang w:eastAsia="vi-VN"/>
        </w:rPr>
        <w:t>.</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b) Phương pháp trích khấu hao tài sản kết cấu hạ tầng chợ được thực hiện theo quy định của pháp luật về chế độ quản lý, sử dụng và trích khấu hao tài sản cố định áp dụng cho doanh nghiệp.</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2. Số hao mòn lũy kế, số khấu hao đã trích:</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a) Số hao mòn lũy kế được tính theo công thức:</w:t>
      </w:r>
    </w:p>
    <w:tbl>
      <w:tblPr>
        <w:tblW w:w="5000" w:type="pct"/>
        <w:jc w:val="left"/>
        <w:tblInd w:w="0" w:type="dxa"/>
        <w:tblLayout w:type="fixed"/>
        <w:tblCellMar>
          <w:top w:w="0" w:type="dxa"/>
          <w:left w:w="108" w:type="dxa"/>
          <w:bottom w:w="0" w:type="dxa"/>
          <w:right w:w="108" w:type="dxa"/>
        </w:tblCellMar>
      </w:tblPr>
      <w:tblGrid>
        <w:gridCol w:w="1959"/>
        <w:gridCol w:w="370"/>
        <w:gridCol w:w="1867"/>
        <w:gridCol w:w="370"/>
        <w:gridCol w:w="2053"/>
        <w:gridCol w:w="303"/>
        <w:gridCol w:w="2148"/>
      </w:tblGrid>
      <w:tr>
        <w:trPr/>
        <w:tc>
          <w:tcPr>
            <w:tcW w:w="1959" w:type="dxa"/>
            <w:tcBorders/>
            <w:shd w:fill="FFFFFF" w:val="clear"/>
            <w:vAlign w:val="center"/>
          </w:tcPr>
          <w:p>
            <w:pPr>
              <w:pStyle w:val="Normal"/>
              <w:widowControl w:val="false"/>
              <w:spacing w:lineRule="auto" w:line="240" w:before="120" w:after="120"/>
              <w:jc w:val="center"/>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Số hao mòn lũy kế đến năm (n)</w:t>
            </w:r>
          </w:p>
        </w:tc>
        <w:tc>
          <w:tcPr>
            <w:tcW w:w="370" w:type="dxa"/>
            <w:tcBorders/>
            <w:shd w:fill="FFFFFF" w:val="clear"/>
            <w:vAlign w:val="center"/>
          </w:tcPr>
          <w:p>
            <w:pPr>
              <w:pStyle w:val="Normal"/>
              <w:widowControl w:val="false"/>
              <w:spacing w:lineRule="auto" w:line="240" w:before="120" w:after="120"/>
              <w:jc w:val="center"/>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w:t>
            </w:r>
          </w:p>
        </w:tc>
        <w:tc>
          <w:tcPr>
            <w:tcW w:w="1867" w:type="dxa"/>
            <w:tcBorders/>
            <w:shd w:fill="FFFFFF" w:val="clear"/>
            <w:vAlign w:val="center"/>
          </w:tcPr>
          <w:p>
            <w:pPr>
              <w:pStyle w:val="Normal"/>
              <w:widowControl w:val="false"/>
              <w:spacing w:lineRule="auto" w:line="240" w:before="120" w:after="120"/>
              <w:jc w:val="center"/>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Số hao mòn lũy kế đến năm (n-1)</w:t>
            </w:r>
          </w:p>
        </w:tc>
        <w:tc>
          <w:tcPr>
            <w:tcW w:w="370" w:type="dxa"/>
            <w:tcBorders/>
            <w:shd w:fill="FFFFFF" w:val="clear"/>
            <w:vAlign w:val="center"/>
          </w:tcPr>
          <w:p>
            <w:pPr>
              <w:pStyle w:val="Normal"/>
              <w:widowControl w:val="false"/>
              <w:spacing w:lineRule="auto" w:line="240" w:before="120" w:after="120"/>
              <w:jc w:val="center"/>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w:t>
            </w:r>
          </w:p>
        </w:tc>
        <w:tc>
          <w:tcPr>
            <w:tcW w:w="2053" w:type="dxa"/>
            <w:tcBorders/>
            <w:shd w:fill="FFFFFF" w:val="clear"/>
            <w:vAlign w:val="center"/>
          </w:tcPr>
          <w:p>
            <w:pPr>
              <w:pStyle w:val="Normal"/>
              <w:widowControl w:val="false"/>
              <w:spacing w:lineRule="auto" w:line="240" w:before="120" w:after="120"/>
              <w:jc w:val="center"/>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Số hao mòn tài sản tăng trong năm (n)</w:t>
            </w:r>
          </w:p>
        </w:tc>
        <w:tc>
          <w:tcPr>
            <w:tcW w:w="303" w:type="dxa"/>
            <w:tcBorders/>
            <w:shd w:fill="FFFFFF" w:val="clear"/>
            <w:vAlign w:val="center"/>
          </w:tcPr>
          <w:p>
            <w:pPr>
              <w:pStyle w:val="Normal"/>
              <w:widowControl w:val="false"/>
              <w:spacing w:lineRule="auto" w:line="240" w:before="120" w:after="120"/>
              <w:jc w:val="center"/>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w:t>
            </w:r>
          </w:p>
        </w:tc>
        <w:tc>
          <w:tcPr>
            <w:tcW w:w="2148" w:type="dxa"/>
            <w:tcBorders/>
            <w:shd w:fill="FFFFFF" w:val="clear"/>
            <w:vAlign w:val="center"/>
          </w:tcPr>
          <w:p>
            <w:pPr>
              <w:pStyle w:val="Normal"/>
              <w:widowControl w:val="false"/>
              <w:spacing w:lineRule="auto" w:line="240" w:before="120" w:after="120"/>
              <w:jc w:val="center"/>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Số hao mòn tài sản giảm trong năm (n)</w:t>
            </w:r>
          </w:p>
        </w:tc>
      </w:tr>
    </w:tbl>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b) Số khấu hao đã trích được tính theo công thức:</w:t>
      </w:r>
    </w:p>
    <w:tbl>
      <w:tblPr>
        <w:tblW w:w="5000" w:type="pct"/>
        <w:jc w:val="left"/>
        <w:tblInd w:w="0" w:type="dxa"/>
        <w:tblLayout w:type="fixed"/>
        <w:tblCellMar>
          <w:top w:w="0" w:type="dxa"/>
          <w:left w:w="108" w:type="dxa"/>
          <w:bottom w:w="0" w:type="dxa"/>
          <w:right w:w="108" w:type="dxa"/>
        </w:tblCellMar>
      </w:tblPr>
      <w:tblGrid>
        <w:gridCol w:w="1893"/>
        <w:gridCol w:w="392"/>
        <w:gridCol w:w="2421"/>
        <w:gridCol w:w="392"/>
        <w:gridCol w:w="1899"/>
        <w:gridCol w:w="349"/>
        <w:gridCol w:w="1724"/>
      </w:tblGrid>
      <w:tr>
        <w:trPr/>
        <w:tc>
          <w:tcPr>
            <w:tcW w:w="1893" w:type="dxa"/>
            <w:tcBorders/>
            <w:shd w:fill="FFFFFF" w:val="clear"/>
            <w:vAlign w:val="center"/>
          </w:tcPr>
          <w:p>
            <w:pPr>
              <w:pStyle w:val="Normal"/>
              <w:widowControl w:val="false"/>
              <w:spacing w:lineRule="auto" w:line="240" w:before="120" w:after="120"/>
              <w:jc w:val="center"/>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Số khấu hao đã trích đến kỳ kế toán (t)</w:t>
            </w:r>
          </w:p>
        </w:tc>
        <w:tc>
          <w:tcPr>
            <w:tcW w:w="392" w:type="dxa"/>
            <w:tcBorders/>
            <w:shd w:fill="FFFFFF" w:val="clear"/>
            <w:vAlign w:val="center"/>
          </w:tcPr>
          <w:p>
            <w:pPr>
              <w:pStyle w:val="Normal"/>
              <w:widowControl w:val="false"/>
              <w:spacing w:lineRule="auto" w:line="240" w:before="120" w:after="120"/>
              <w:jc w:val="center"/>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w:t>
            </w:r>
          </w:p>
        </w:tc>
        <w:tc>
          <w:tcPr>
            <w:tcW w:w="2421" w:type="dxa"/>
            <w:tcBorders/>
            <w:shd w:fill="FFFFFF" w:val="clear"/>
            <w:vAlign w:val="center"/>
          </w:tcPr>
          <w:p>
            <w:pPr>
              <w:pStyle w:val="Normal"/>
              <w:widowControl w:val="false"/>
              <w:spacing w:lineRule="auto" w:line="240" w:before="120" w:after="120"/>
              <w:jc w:val="center"/>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Số khấu hao đã trích đến kỳ kế toán (t-1)</w:t>
            </w:r>
          </w:p>
        </w:tc>
        <w:tc>
          <w:tcPr>
            <w:tcW w:w="392" w:type="dxa"/>
            <w:tcBorders/>
            <w:shd w:fill="FFFFFF" w:val="clear"/>
            <w:vAlign w:val="center"/>
          </w:tcPr>
          <w:p>
            <w:pPr>
              <w:pStyle w:val="Normal"/>
              <w:widowControl w:val="false"/>
              <w:spacing w:lineRule="auto" w:line="240" w:before="120" w:after="120"/>
              <w:jc w:val="center"/>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w:t>
            </w:r>
          </w:p>
        </w:tc>
        <w:tc>
          <w:tcPr>
            <w:tcW w:w="1899" w:type="dxa"/>
            <w:tcBorders/>
            <w:shd w:fill="FFFFFF" w:val="clear"/>
            <w:vAlign w:val="center"/>
          </w:tcPr>
          <w:p>
            <w:pPr>
              <w:pStyle w:val="Normal"/>
              <w:widowControl w:val="false"/>
              <w:spacing w:lineRule="auto" w:line="240" w:before="120" w:after="120"/>
              <w:jc w:val="center"/>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Số khấu hao tài sản tăng trong kỳ kế toán (t)</w:t>
            </w:r>
          </w:p>
        </w:tc>
        <w:tc>
          <w:tcPr>
            <w:tcW w:w="349" w:type="dxa"/>
            <w:tcBorders/>
            <w:shd w:fill="FFFFFF" w:val="clear"/>
            <w:vAlign w:val="center"/>
          </w:tcPr>
          <w:p>
            <w:pPr>
              <w:pStyle w:val="Normal"/>
              <w:widowControl w:val="false"/>
              <w:spacing w:lineRule="auto" w:line="240" w:before="120" w:after="120"/>
              <w:jc w:val="center"/>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w:t>
            </w:r>
          </w:p>
        </w:tc>
        <w:tc>
          <w:tcPr>
            <w:tcW w:w="1724" w:type="dxa"/>
            <w:tcBorders/>
            <w:shd w:fill="FFFFFF" w:val="clear"/>
            <w:vAlign w:val="center"/>
          </w:tcPr>
          <w:p>
            <w:pPr>
              <w:pStyle w:val="Normal"/>
              <w:widowControl w:val="false"/>
              <w:spacing w:lineRule="auto" w:line="240" w:before="120" w:after="120"/>
              <w:jc w:val="center"/>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Số khấu hao tài sản giảm trong kỳ kế toán (t)</w:t>
            </w:r>
          </w:p>
        </w:tc>
      </w:tr>
    </w:tbl>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3. Mức hao mòn, trích khấu hao cho năm cuối cùng/kỳ kế toán cuối cùng của thời gian sử dụng tài sản kết cấu hạ tầng chợ:</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a) Mức hao mòn tính cho năm cuối cùng của thời gian sử dụng tài sản được tính theo công thức:</w:t>
      </w:r>
    </w:p>
    <w:tbl>
      <w:tblPr>
        <w:tblW w:w="5000" w:type="pct"/>
        <w:jc w:val="center"/>
        <w:tblInd w:w="0" w:type="dxa"/>
        <w:tblLayout w:type="fixed"/>
        <w:tblCellMar>
          <w:top w:w="0" w:type="dxa"/>
          <w:left w:w="108" w:type="dxa"/>
          <w:bottom w:w="0" w:type="dxa"/>
          <w:right w:w="108" w:type="dxa"/>
        </w:tblCellMar>
      </w:tblPr>
      <w:tblGrid>
        <w:gridCol w:w="3055"/>
        <w:gridCol w:w="647"/>
        <w:gridCol w:w="1850"/>
        <w:gridCol w:w="370"/>
        <w:gridCol w:w="3148"/>
      </w:tblGrid>
      <w:tr>
        <w:trPr/>
        <w:tc>
          <w:tcPr>
            <w:tcW w:w="3055" w:type="dxa"/>
            <w:tcBorders/>
            <w:vAlign w:val="center"/>
          </w:tcPr>
          <w:p>
            <w:pPr>
              <w:pStyle w:val="Normal"/>
              <w:widowControl w:val="false"/>
              <w:spacing w:lineRule="auto" w:line="240" w:before="120" w:after="120"/>
              <w:jc w:val="center"/>
              <w:rPr/>
            </w:pPr>
            <w:r>
              <w:rPr>
                <w:rFonts w:eastAsia="Times New Roman" w:cs="Times New Roman" w:ascii="Times New Roman" w:hAnsi="Times New Roman"/>
                <w:sz w:val="28"/>
                <w:szCs w:val="28"/>
                <w:lang w:eastAsia="vi-VN"/>
              </w:rPr>
              <w:t>Mức hao mòn tính cho năm cuối cùng</w:t>
            </w:r>
          </w:p>
        </w:tc>
        <w:tc>
          <w:tcPr>
            <w:tcW w:w="647" w:type="dxa"/>
            <w:tcBorders/>
            <w:vAlign w:val="center"/>
          </w:tcPr>
          <w:p>
            <w:pPr>
              <w:pStyle w:val="Normal"/>
              <w:widowControl w:val="false"/>
              <w:spacing w:lineRule="auto" w:line="240" w:before="120" w:after="120"/>
              <w:jc w:val="center"/>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w:t>
            </w:r>
          </w:p>
        </w:tc>
        <w:tc>
          <w:tcPr>
            <w:tcW w:w="1850" w:type="dxa"/>
            <w:tcBorders/>
            <w:vAlign w:val="center"/>
          </w:tcPr>
          <w:p>
            <w:pPr>
              <w:pStyle w:val="Normal"/>
              <w:widowControl w:val="false"/>
              <w:spacing w:lineRule="auto" w:line="240" w:before="120" w:after="120"/>
              <w:jc w:val="center"/>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Nguyên giá của tài sản</w:t>
            </w:r>
          </w:p>
        </w:tc>
        <w:tc>
          <w:tcPr>
            <w:tcW w:w="370" w:type="dxa"/>
            <w:tcBorders/>
            <w:vAlign w:val="center"/>
          </w:tcPr>
          <w:p>
            <w:pPr>
              <w:pStyle w:val="Normal"/>
              <w:widowControl w:val="false"/>
              <w:spacing w:lineRule="auto" w:line="240" w:before="120" w:after="120"/>
              <w:jc w:val="center"/>
              <w:rPr>
                <w:rFonts w:ascii="Times New Roman" w:hAnsi="Times New Roman" w:eastAsia="Times New Roman" w:cs="Times New Roman"/>
                <w:sz w:val="28"/>
                <w:szCs w:val="28"/>
                <w:lang w:val="en-US" w:eastAsia="vi-VN"/>
              </w:rPr>
            </w:pPr>
            <w:r>
              <w:rPr>
                <w:rFonts w:eastAsia="Times New Roman" w:cs="Times New Roman" w:ascii="Times New Roman" w:hAnsi="Times New Roman"/>
                <w:sz w:val="28"/>
                <w:szCs w:val="28"/>
                <w:lang w:val="en-US" w:eastAsia="vi-VN"/>
              </w:rPr>
              <w:t>-</w:t>
            </w:r>
          </w:p>
        </w:tc>
        <w:tc>
          <w:tcPr>
            <w:tcW w:w="3148" w:type="dxa"/>
            <w:tcBorders/>
            <w:vAlign w:val="center"/>
          </w:tcPr>
          <w:p>
            <w:pPr>
              <w:pStyle w:val="Normal"/>
              <w:widowControl w:val="false"/>
              <w:spacing w:lineRule="auto" w:line="240" w:before="120" w:after="120"/>
              <w:jc w:val="center"/>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Số hao mòn lũy kế đến trước năm cuối cùng xác định theo quy định tại điểm a khoản 2 Điều này</w:t>
            </w:r>
          </w:p>
        </w:tc>
      </w:tr>
    </w:tbl>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b) Mức trích khấu hao cho kỳ kế toán cuối cùng của thời gian sử dụng t</w:t>
      </w:r>
      <w:r>
        <w:rPr/>
        <w:t>ài sản được tính theo công thức:</w:t>
      </w:r>
    </w:p>
    <w:tbl>
      <w:tblPr>
        <w:tblW w:w="5000" w:type="pct"/>
        <w:jc w:val="left"/>
        <w:tblInd w:w="0" w:type="dxa"/>
        <w:tblLayout w:type="fixed"/>
        <w:tblCellMar>
          <w:top w:w="0" w:type="dxa"/>
          <w:left w:w="108" w:type="dxa"/>
          <w:bottom w:w="0" w:type="dxa"/>
          <w:right w:w="108" w:type="dxa"/>
        </w:tblCellMar>
      </w:tblPr>
      <w:tblGrid>
        <w:gridCol w:w="3055"/>
        <w:gridCol w:w="647"/>
        <w:gridCol w:w="1850"/>
        <w:gridCol w:w="370"/>
        <w:gridCol w:w="3148"/>
      </w:tblGrid>
      <w:tr>
        <w:trPr/>
        <w:tc>
          <w:tcPr>
            <w:tcW w:w="3055" w:type="dxa"/>
            <w:tcBorders/>
            <w:shd w:fill="FFFFFF" w:val="clear"/>
            <w:vAlign w:val="center"/>
          </w:tcPr>
          <w:p>
            <w:pPr>
              <w:pStyle w:val="Normal"/>
              <w:widowControl w:val="false"/>
              <w:spacing w:lineRule="auto" w:line="240" w:before="120" w:after="120"/>
              <w:jc w:val="center"/>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Mức trích khấu hao cho kỳ kế toán cuối cùng</w:t>
            </w:r>
          </w:p>
        </w:tc>
        <w:tc>
          <w:tcPr>
            <w:tcW w:w="647" w:type="dxa"/>
            <w:tcBorders/>
            <w:shd w:fill="FFFFFF" w:val="clear"/>
            <w:vAlign w:val="center"/>
          </w:tcPr>
          <w:p>
            <w:pPr>
              <w:pStyle w:val="Normal"/>
              <w:widowControl w:val="false"/>
              <w:spacing w:lineRule="auto" w:line="240" w:before="120" w:after="120"/>
              <w:jc w:val="center"/>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w:t>
            </w:r>
          </w:p>
        </w:tc>
        <w:tc>
          <w:tcPr>
            <w:tcW w:w="1850" w:type="dxa"/>
            <w:tcBorders/>
            <w:shd w:fill="FFFFFF" w:val="clear"/>
            <w:vAlign w:val="center"/>
          </w:tcPr>
          <w:p>
            <w:pPr>
              <w:pStyle w:val="Normal"/>
              <w:widowControl w:val="false"/>
              <w:spacing w:lineRule="auto" w:line="240" w:before="120" w:after="120"/>
              <w:jc w:val="center"/>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Nguyên giá của tài sản</w:t>
            </w:r>
          </w:p>
        </w:tc>
        <w:tc>
          <w:tcPr>
            <w:tcW w:w="370" w:type="dxa"/>
            <w:tcBorders/>
            <w:shd w:fill="FFFFFF" w:val="clear"/>
            <w:vAlign w:val="center"/>
          </w:tcPr>
          <w:p>
            <w:pPr>
              <w:pStyle w:val="Normal"/>
              <w:widowControl w:val="false"/>
              <w:spacing w:lineRule="auto" w:line="240" w:before="120" w:after="120"/>
              <w:jc w:val="center"/>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w:t>
            </w:r>
          </w:p>
        </w:tc>
        <w:tc>
          <w:tcPr>
            <w:tcW w:w="3148" w:type="dxa"/>
            <w:tcBorders/>
            <w:shd w:fill="FFFFFF" w:val="clear"/>
            <w:vAlign w:val="center"/>
          </w:tcPr>
          <w:p>
            <w:pPr>
              <w:pStyle w:val="Normal"/>
              <w:widowControl w:val="false"/>
              <w:spacing w:lineRule="auto" w:line="240" w:before="120" w:after="120"/>
              <w:jc w:val="center"/>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Số khấu hao đã trích tính đến trước kỳ kế toán cuối cùng xác định theo quy định tại điểm b khoản 2 Điều này</w:t>
            </w:r>
          </w:p>
        </w:tc>
      </w:tr>
    </w:tbl>
    <w:p>
      <w:pPr>
        <w:pStyle w:val="Normal"/>
        <w:widowControl w:val="false"/>
        <w:numPr>
          <w:ilvl w:val="0"/>
          <w:numId w:val="0"/>
        </w:numPr>
        <w:shd w:fill="FFFFFF" w:val="clear"/>
        <w:spacing w:lineRule="auto" w:line="240" w:before="120" w:after="120"/>
        <w:ind w:firstLine="567" w:right="0"/>
        <w:jc w:val="both"/>
        <w:outlineLvl w:val="0"/>
        <w:rPr>
          <w:rFonts w:ascii="Times New Roman" w:hAnsi="Times New Roman" w:eastAsia="Times New Roman" w:cs="Times New Roman"/>
          <w:b/>
          <w:bCs/>
          <w:sz w:val="28"/>
          <w:szCs w:val="28"/>
          <w:lang w:eastAsia="vi-VN"/>
        </w:rPr>
      </w:pPr>
      <w:bookmarkStart w:id="34" w:name="dieu_10"/>
      <w:r>
        <w:rPr>
          <w:rFonts w:eastAsia="Times New Roman" w:cs="Times New Roman" w:ascii="Times New Roman" w:hAnsi="Times New Roman"/>
          <w:b/>
          <w:bCs/>
          <w:sz w:val="28"/>
          <w:szCs w:val="28"/>
          <w:lang w:eastAsia="vi-VN"/>
        </w:rPr>
        <w:t>Điều 12. Giá trị còn lại của tài sản kết cấu hạ tầng chợ</w:t>
      </w:r>
      <w:bookmarkEnd w:id="34"/>
    </w:p>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1. Giá trị còn lại của tài sản kết cấu hạ tầng chợ để ghi sổ kế toán được tính theo công thức:</w:t>
      </w:r>
    </w:p>
    <w:tbl>
      <w:tblPr>
        <w:tblW w:w="5000" w:type="pct"/>
        <w:jc w:val="center"/>
        <w:tblInd w:w="0" w:type="dxa"/>
        <w:tblLayout w:type="fixed"/>
        <w:tblCellMar>
          <w:top w:w="0" w:type="dxa"/>
          <w:left w:w="108" w:type="dxa"/>
          <w:bottom w:w="0" w:type="dxa"/>
          <w:right w:w="108" w:type="dxa"/>
        </w:tblCellMar>
      </w:tblPr>
      <w:tblGrid>
        <w:gridCol w:w="2961"/>
        <w:gridCol w:w="648"/>
        <w:gridCol w:w="2035"/>
        <w:gridCol w:w="370"/>
        <w:gridCol w:w="3056"/>
      </w:tblGrid>
      <w:tr>
        <w:trPr/>
        <w:tc>
          <w:tcPr>
            <w:tcW w:w="2961" w:type="dxa"/>
            <w:tcBorders/>
            <w:vAlign w:val="center"/>
          </w:tcPr>
          <w:p>
            <w:pPr>
              <w:pStyle w:val="Normal"/>
              <w:widowControl w:val="false"/>
              <w:spacing w:lineRule="auto" w:line="240" w:before="0" w:after="0"/>
              <w:jc w:val="center"/>
              <w:rPr/>
            </w:pPr>
            <w:r>
              <w:rPr>
                <w:rFonts w:eastAsia="Times New Roman" w:cs="Times New Roman" w:ascii="Times New Roman" w:hAnsi="Times New Roman"/>
                <w:sz w:val="28"/>
                <w:szCs w:val="28"/>
                <w:lang w:eastAsia="vi-VN"/>
              </w:rPr>
              <w:t>Giá trị còn lại của tài sản kết cấu hạ tầng chợ tính đến ngày 31 tháng 12 năm (n)</w:t>
            </w:r>
          </w:p>
        </w:tc>
        <w:tc>
          <w:tcPr>
            <w:tcW w:w="648" w:type="dxa"/>
            <w:tcBorders/>
            <w:vAlign w:val="center"/>
          </w:tcPr>
          <w:p>
            <w:pPr>
              <w:pStyle w:val="Normal"/>
              <w:widowControl w:val="false"/>
              <w:spacing w:lineRule="auto" w:line="240" w:before="0" w:after="0"/>
              <w:jc w:val="center"/>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w:t>
            </w:r>
          </w:p>
        </w:tc>
        <w:tc>
          <w:tcPr>
            <w:tcW w:w="2035" w:type="dxa"/>
            <w:tcBorders/>
            <w:vAlign w:val="center"/>
          </w:tcPr>
          <w:p>
            <w:pPr>
              <w:pStyle w:val="Normal"/>
              <w:widowControl w:val="false"/>
              <w:spacing w:lineRule="auto" w:line="240" w:before="0" w:after="0"/>
              <w:jc w:val="center"/>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Nguyên giá của tài sản</w:t>
            </w:r>
          </w:p>
        </w:tc>
        <w:tc>
          <w:tcPr>
            <w:tcW w:w="370" w:type="dxa"/>
            <w:tcBorders/>
            <w:vAlign w:val="center"/>
          </w:tcPr>
          <w:p>
            <w:pPr>
              <w:pStyle w:val="Normal"/>
              <w:widowControl w:val="false"/>
              <w:spacing w:lineRule="auto" w:line="240" w:before="0" w:after="0"/>
              <w:jc w:val="center"/>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w:t>
            </w:r>
          </w:p>
        </w:tc>
        <w:tc>
          <w:tcPr>
            <w:tcW w:w="3056" w:type="dxa"/>
            <w:tcBorders/>
            <w:vAlign w:val="center"/>
          </w:tcPr>
          <w:p>
            <w:pPr>
              <w:pStyle w:val="Normal"/>
              <w:widowControl w:val="false"/>
              <w:spacing w:lineRule="auto" w:line="240" w:before="0" w:after="0"/>
              <w:jc w:val="center"/>
              <w:rPr/>
            </w:pPr>
            <w:r>
              <w:rPr>
                <w:rFonts w:eastAsia="Times New Roman" w:cs="Times New Roman" w:ascii="Times New Roman" w:hAnsi="Times New Roman"/>
                <w:sz w:val="28"/>
                <w:szCs w:val="28"/>
                <w:lang w:eastAsia="vi-VN"/>
              </w:rPr>
              <w:t>Số hao mòn lũy kế, khấu hao đã trích đến ngày 31 tháng 12 năm (n)</w:t>
            </w:r>
          </w:p>
        </w:tc>
      </w:tr>
    </w:tbl>
    <w:p>
      <w:pPr>
        <w:pStyle w:val="Normal"/>
        <w:widowControl w:val="false"/>
        <w:shd w:fill="FFFFFF" w:val="clear"/>
        <w:spacing w:lineRule="auto" w:line="240" w:before="120" w:after="120"/>
        <w:ind w:firstLine="567" w:right="0"/>
        <w:jc w:val="both"/>
        <w:rPr>
          <w:rFonts w:ascii="Times New Roman" w:hAnsi="Times New Roman" w:eastAsia="Times New Roman" w:cs="Times New Roman"/>
          <w:sz w:val="28"/>
          <w:szCs w:val="28"/>
          <w:lang w:eastAsia="vi-VN"/>
        </w:rPr>
      </w:pPr>
      <w:r>
        <w:rPr>
          <w:rFonts w:eastAsia="Times New Roman" w:cs="Times New Roman" w:ascii="Times New Roman" w:hAnsi="Times New Roman"/>
          <w:sz w:val="28"/>
          <w:szCs w:val="28"/>
          <w:lang w:eastAsia="vi-VN"/>
        </w:rPr>
        <w:t xml:space="preserve">2. </w:t>
      </w:r>
      <w:bookmarkStart w:id="35" w:name="chuong_6"/>
      <w:r>
        <w:rPr>
          <w:rFonts w:eastAsia="Times New Roman" w:cs="Times New Roman" w:ascii="Times New Roman" w:hAnsi="Times New Roman"/>
          <w:sz w:val="28"/>
          <w:szCs w:val="28"/>
          <w:lang w:eastAsia="vi-VN"/>
        </w:rPr>
        <w:t>Đối với tài sản cố định được đánh giá lại giá trị tài sản theo quy định tại Thông tư này thì giá trị đánh giá lại là giá trị còn lại của tài sản.</w:t>
      </w:r>
    </w:p>
    <w:p>
      <w:pPr>
        <w:pStyle w:val="Normal"/>
        <w:widowControl w:val="false"/>
        <w:shd w:fill="FFFFFF" w:val="clear"/>
        <w:spacing w:lineRule="auto" w:line="240" w:before="120" w:after="120"/>
        <w:ind w:firstLine="567" w:right="0"/>
        <w:jc w:val="center"/>
        <w:rPr>
          <w:rFonts w:ascii="Times New Roman" w:hAnsi="Times New Roman" w:eastAsia="Times New Roman" w:cs="Times New Roman"/>
          <w:b/>
          <w:sz w:val="28"/>
          <w:szCs w:val="28"/>
          <w:lang w:eastAsia="vi-VN"/>
        </w:rPr>
      </w:pPr>
      <w:r>
        <w:rPr>
          <w:rFonts w:eastAsia="Times New Roman" w:cs="Times New Roman" w:ascii="Times New Roman" w:hAnsi="Times New Roman"/>
          <w:b/>
          <w:sz w:val="28"/>
          <w:szCs w:val="28"/>
          <w:lang w:val="en-US" w:eastAsia="vi-VN"/>
        </w:rPr>
        <w:t>Ch</w:t>
      </w:r>
      <w:r>
        <w:rPr>
          <w:rFonts w:eastAsia="Times New Roman" w:cs="Times New Roman" w:ascii="Times New Roman" w:hAnsi="Times New Roman"/>
          <w:b/>
          <w:sz w:val="28"/>
          <w:szCs w:val="28"/>
          <w:lang w:eastAsia="vi-VN"/>
        </w:rPr>
        <w:t xml:space="preserve">ương </w:t>
      </w:r>
      <w:bookmarkEnd w:id="35"/>
      <w:r>
        <w:rPr>
          <w:rFonts w:eastAsia="Times New Roman" w:cs="Times New Roman" w:ascii="Times New Roman" w:hAnsi="Times New Roman"/>
          <w:b/>
          <w:sz w:val="28"/>
          <w:szCs w:val="28"/>
          <w:lang w:eastAsia="vi-VN"/>
        </w:rPr>
        <w:t>IV</w:t>
      </w:r>
    </w:p>
    <w:p>
      <w:pPr>
        <w:pStyle w:val="Normal"/>
        <w:widowControl w:val="false"/>
        <w:shd w:fill="FFFFFF" w:val="clear"/>
        <w:spacing w:lineRule="auto" w:line="240" w:before="120" w:after="120"/>
        <w:ind w:firstLine="567" w:right="0"/>
        <w:jc w:val="center"/>
        <w:rPr>
          <w:rFonts w:ascii="Times New Roman" w:hAnsi="Times New Roman" w:eastAsia="Times New Roman" w:cs="Times New Roman"/>
          <w:b/>
          <w:bCs/>
          <w:sz w:val="28"/>
          <w:szCs w:val="28"/>
          <w:lang w:eastAsia="vi-VN"/>
        </w:rPr>
      </w:pPr>
      <w:r>
        <w:rPr>
          <w:rFonts w:eastAsia="Times New Roman" w:cs="Times New Roman" w:ascii="Times New Roman" w:hAnsi="Times New Roman"/>
          <w:b/>
          <w:bCs/>
          <w:sz w:val="28"/>
          <w:szCs w:val="28"/>
          <w:lang w:eastAsia="vi-VN"/>
        </w:rPr>
        <w:t>TỔ CHỨC THỰC HIỆN</w:t>
      </w:r>
    </w:p>
    <w:p>
      <w:pPr>
        <w:pStyle w:val="Normal"/>
        <w:widowControl w:val="false"/>
        <w:numPr>
          <w:ilvl w:val="0"/>
          <w:numId w:val="0"/>
        </w:numPr>
        <w:shd w:fill="FFFFFF" w:val="clear"/>
        <w:spacing w:lineRule="auto" w:line="240" w:before="120" w:after="120"/>
        <w:ind w:firstLine="567" w:right="0"/>
        <w:jc w:val="both"/>
        <w:outlineLvl w:val="0"/>
        <w:rPr>
          <w:rFonts w:ascii="Times New Roman" w:hAnsi="Times New Roman" w:eastAsia="Times New Roman" w:cs="Times New Roman"/>
          <w:sz w:val="28"/>
          <w:szCs w:val="28"/>
          <w:lang w:eastAsia="vi-VN"/>
        </w:rPr>
      </w:pPr>
      <w:bookmarkStart w:id="36" w:name="dieu_12"/>
      <w:r>
        <w:rPr>
          <w:rFonts w:eastAsia="Times New Roman" w:cs="Times New Roman" w:ascii="Times New Roman" w:hAnsi="Times New Roman"/>
          <w:b/>
          <w:bCs/>
          <w:sz w:val="28"/>
          <w:szCs w:val="28"/>
          <w:lang w:eastAsia="vi-VN"/>
        </w:rPr>
        <w:t>Điều 13. Hiệu lực thi hành</w:t>
      </w:r>
      <w:bookmarkEnd w:id="36"/>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1. Thông tư này có hiệu lực thi hành kể từ ngày</w:t>
      </w:r>
      <w:r>
        <w:rPr>
          <w:rFonts w:eastAsia="Times New Roman" w:cs="Times New Roman" w:ascii="Times New Roman" w:hAnsi="Times New Roman"/>
          <w:sz w:val="28"/>
          <w:szCs w:val="28"/>
          <w:lang w:val="en-US" w:eastAsia="vi-VN"/>
        </w:rPr>
        <w:t xml:space="preserve"> 01 </w:t>
      </w:r>
      <w:r>
        <w:rPr>
          <w:rFonts w:eastAsia="Times New Roman" w:cs="Times New Roman" w:ascii="Times New Roman" w:hAnsi="Times New Roman"/>
          <w:sz w:val="28"/>
          <w:szCs w:val="28"/>
          <w:lang w:eastAsia="vi-VN"/>
        </w:rPr>
        <w:t xml:space="preserve">tháng </w:t>
      </w:r>
      <w:r>
        <w:rPr>
          <w:rFonts w:eastAsia="Times New Roman" w:cs="Times New Roman" w:ascii="Times New Roman" w:hAnsi="Times New Roman"/>
          <w:sz w:val="28"/>
          <w:szCs w:val="28"/>
          <w:lang w:val="en-US" w:eastAsia="vi-VN"/>
        </w:rPr>
        <w:t xml:space="preserve">3 </w:t>
      </w:r>
      <w:r>
        <w:rPr>
          <w:rFonts w:eastAsia="Times New Roman" w:cs="Times New Roman" w:ascii="Times New Roman" w:hAnsi="Times New Roman"/>
          <w:sz w:val="28"/>
          <w:szCs w:val="28"/>
          <w:lang w:eastAsia="vi-VN"/>
        </w:rPr>
        <w:t>năm 2025 và được áp dụng từ năm tài chính 2025.</w:t>
      </w:r>
    </w:p>
    <w:p>
      <w:pPr>
        <w:pStyle w:val="Normal"/>
        <w:widowControl w:val="false"/>
        <w:shd w:fill="FFFFFF" w:val="clear"/>
        <w:spacing w:lineRule="auto" w:line="240" w:before="120" w:after="120"/>
        <w:ind w:firstLine="567" w:right="0"/>
        <w:jc w:val="both"/>
        <w:rPr/>
      </w:pPr>
      <w:r>
        <w:rPr>
          <w:rFonts w:eastAsia="Times New Roman" w:cs="Times New Roman" w:ascii="Times New Roman" w:hAnsi="Times New Roman"/>
          <w:sz w:val="28"/>
          <w:szCs w:val="28"/>
          <w:lang w:eastAsia="vi-VN"/>
        </w:rPr>
        <w:t xml:space="preserve">2. </w:t>
      </w:r>
      <w:r>
        <w:rPr>
          <w:rFonts w:eastAsia="Times New Roman" w:cs="Times New Roman" w:ascii="Times New Roman" w:hAnsi="Times New Roman"/>
          <w:sz w:val="28"/>
          <w:szCs w:val="28"/>
        </w:rPr>
        <w:t>Trường hợp các văn bản quy phạm pháp luật trích dẫn tại Thông tư này được sửa đổi, bổ sung hoặc thay thế bằng văn bản quy phạm pháp luật khác thì thực hiện theo quy định tại văn bản sửa đổi, bổ sung hoặc thay thế đó</w:t>
      </w:r>
      <w:r>
        <w:rPr>
          <w:rFonts w:eastAsia="Times New Roman" w:cs="Times New Roman" w:ascii="Times New Roman" w:hAnsi="Times New Roman"/>
          <w:sz w:val="28"/>
          <w:szCs w:val="28"/>
          <w:lang w:eastAsia="vi-VN"/>
        </w:rPr>
        <w:t>.</w:t>
      </w:r>
    </w:p>
    <w:p>
      <w:pPr>
        <w:pStyle w:val="Normal"/>
        <w:widowControl w:val="false"/>
        <w:shd w:fill="FFFFFF" w:val="clear"/>
        <w:spacing w:lineRule="auto" w:line="240" w:before="120" w:after="120"/>
        <w:ind w:firstLine="567" w:right="0"/>
        <w:jc w:val="both"/>
        <w:rPr>
          <w:rFonts w:ascii="Times New Roman" w:hAnsi="Times New Roman" w:eastAsia="Times New Roman" w:cs="Times New Roman"/>
          <w:spacing w:val="-2"/>
          <w:sz w:val="28"/>
          <w:szCs w:val="28"/>
          <w:lang w:eastAsia="vi-VN"/>
        </w:rPr>
      </w:pPr>
      <w:r>
        <w:rPr>
          <w:rFonts w:eastAsia="Times New Roman" w:cs="Times New Roman" w:ascii="Times New Roman" w:hAnsi="Times New Roman"/>
          <w:spacing w:val="-2"/>
          <w:sz w:val="28"/>
          <w:szCs w:val="28"/>
          <w:lang w:eastAsia="vi-VN"/>
        </w:rPr>
        <w:t>3. Chủ tịch Ủy ban nhân dân các tỉnh, thành phố trực thuộc trung ương, Thủ trưởng các cơ quan, tổ chức, đơn vị có liên quan có trách nhiệm chỉ đạo, tổ chức thực hiện việc quản lý, tính hao mòn, trích khấu hao tài sản kết cấu hạ tầng chợ theo quy định tại Thông tư này và các văn bản có liên quan./.</w:t>
      </w:r>
    </w:p>
    <w:p>
      <w:pPr>
        <w:pStyle w:val="Normal"/>
        <w:widowControl w:val="false"/>
        <w:shd w:fill="FFFFFF" w:val="clear"/>
        <w:spacing w:lineRule="auto" w:line="240" w:before="0" w:after="0"/>
        <w:ind w:firstLine="567" w:right="0"/>
        <w:jc w:val="both"/>
        <w:rPr>
          <w:rFonts w:ascii="Times New Roman" w:hAnsi="Times New Roman" w:eastAsia="Times New Roman" w:cs="Times New Roman"/>
          <w:spacing w:val="-2"/>
          <w:sz w:val="28"/>
          <w:szCs w:val="28"/>
          <w:lang w:eastAsia="vi-VN"/>
        </w:rPr>
      </w:pPr>
      <w:r>
        <w:rPr>
          <w:rFonts w:eastAsia="Times New Roman" w:cs="Times New Roman" w:ascii="Times New Roman" w:hAnsi="Times New Roman"/>
          <w:spacing w:val="-2"/>
          <w:sz w:val="28"/>
          <w:szCs w:val="28"/>
          <w:lang w:eastAsia="vi-VN"/>
        </w:rPr>
      </w:r>
    </w:p>
    <w:tbl>
      <w:tblPr>
        <w:tblW w:w="5000" w:type="pct"/>
        <w:jc w:val="left"/>
        <w:tblInd w:w="0" w:type="dxa"/>
        <w:tblLayout w:type="fixed"/>
        <w:tblCellMar>
          <w:top w:w="0" w:type="dxa"/>
          <w:left w:w="108" w:type="dxa"/>
          <w:bottom w:w="0" w:type="dxa"/>
          <w:right w:w="108" w:type="dxa"/>
        </w:tblCellMar>
      </w:tblPr>
      <w:tblGrid>
        <w:gridCol w:w="5886"/>
        <w:gridCol w:w="3184"/>
      </w:tblGrid>
      <w:tr>
        <w:trPr/>
        <w:tc>
          <w:tcPr>
            <w:tcW w:w="5886" w:type="dxa"/>
            <w:tcBorders/>
            <w:shd w:fill="FFFFFF" w:val="clear"/>
          </w:tcPr>
          <w:p>
            <w:pPr>
              <w:pStyle w:val="Normal"/>
              <w:widowControl w:val="false"/>
              <w:spacing w:lineRule="auto" w:line="240" w:before="0" w:after="0"/>
              <w:rPr>
                <w:rFonts w:ascii="Times New Roman" w:hAnsi="Times New Roman" w:eastAsia="Times New Roman" w:cs="Times New Roman"/>
                <w:lang w:val="en-US" w:eastAsia="vi-VN"/>
              </w:rPr>
            </w:pPr>
            <w:r>
              <w:rPr>
                <w:rFonts w:eastAsia="Times New Roman" w:cs="Times New Roman" w:ascii="Times New Roman" w:hAnsi="Times New Roman"/>
                <w:b/>
                <w:bCs/>
                <w:i/>
                <w:iCs/>
                <w:sz w:val="24"/>
                <w:szCs w:val="24"/>
                <w:lang w:eastAsia="vi-VN"/>
              </w:rPr>
              <w:t>Nơi nhận:</w:t>
            </w:r>
            <w:r>
              <w:rPr>
                <w:rFonts w:eastAsia="Times New Roman" w:cs="Times New Roman" w:ascii="Times New Roman" w:hAnsi="Times New Roman"/>
                <w:b/>
                <w:bCs/>
                <w:iCs/>
                <w:lang w:eastAsia="vi-VN"/>
              </w:rPr>
              <w:br/>
            </w:r>
            <w:r>
              <w:rPr>
                <w:rFonts w:cs="Times New Roman" w:ascii="Times New Roman" w:hAnsi="Times New Roman"/>
                <w:shd w:fill="FFFFFF" w:val="clear"/>
              </w:rPr>
              <w:t>- Ban Bí thư Trung ương Đảng;</w:t>
            </w:r>
            <w:r>
              <w:rPr>
                <w:rFonts w:cs="Times New Roman" w:ascii="Times New Roman" w:hAnsi="Times New Roman"/>
              </w:rPr>
              <w:br/>
            </w:r>
            <w:r>
              <w:rPr>
                <w:rFonts w:cs="Times New Roman" w:ascii="Times New Roman" w:hAnsi="Times New Roman"/>
                <w:shd w:fill="FFFFFF" w:val="clear"/>
              </w:rPr>
              <w:t xml:space="preserve">- Thủ tướng Chính phủ và các Phó </w:t>
            </w:r>
            <w:r>
              <w:rPr>
                <w:rFonts w:cs="Times New Roman" w:ascii="Times New Roman" w:hAnsi="Times New Roman"/>
                <w:shd w:fill="FFFFFF" w:val="clear"/>
                <w:lang w:val="en-US"/>
              </w:rPr>
              <w:t>T</w:t>
            </w:r>
            <w:r>
              <w:rPr>
                <w:rFonts w:cs="Times New Roman" w:ascii="Times New Roman" w:hAnsi="Times New Roman"/>
                <w:shd w:fill="FFFFFF" w:val="clear"/>
              </w:rPr>
              <w:t>hủ tướng Chính phủ;</w:t>
            </w:r>
            <w:r>
              <w:rPr>
                <w:rFonts w:cs="Times New Roman" w:ascii="Times New Roman" w:hAnsi="Times New Roman"/>
              </w:rPr>
              <w:br/>
            </w:r>
            <w:r>
              <w:rPr>
                <w:rFonts w:cs="Times New Roman" w:ascii="Times New Roman" w:hAnsi="Times New Roman"/>
                <w:shd w:fill="FFFFFF" w:val="clear"/>
              </w:rPr>
              <w:t xml:space="preserve">- Văn phòng </w:t>
            </w:r>
            <w:r>
              <w:rPr>
                <w:rFonts w:cs="Times New Roman" w:ascii="Times New Roman" w:hAnsi="Times New Roman"/>
                <w:shd w:fill="FFFFFF" w:val="clear"/>
                <w:lang w:val="en-US"/>
              </w:rPr>
              <w:t>T</w:t>
            </w:r>
            <w:r>
              <w:rPr>
                <w:rFonts w:cs="Times New Roman" w:ascii="Times New Roman" w:hAnsi="Times New Roman"/>
                <w:shd w:fill="FFFFFF" w:val="clear"/>
              </w:rPr>
              <w:t>rung ương và các Ban của Đảng;</w:t>
            </w:r>
            <w:r>
              <w:rPr>
                <w:rFonts w:cs="Times New Roman" w:ascii="Times New Roman" w:hAnsi="Times New Roman"/>
              </w:rPr>
              <w:br/>
            </w:r>
            <w:r>
              <w:rPr>
                <w:rFonts w:cs="Times New Roman" w:ascii="Times New Roman" w:hAnsi="Times New Roman"/>
                <w:shd w:fill="FFFFFF" w:val="clear"/>
              </w:rPr>
              <w:t xml:space="preserve">- Văn phòng Tổng </w:t>
            </w:r>
            <w:r>
              <w:rPr>
                <w:rFonts w:cs="Times New Roman" w:ascii="Times New Roman" w:hAnsi="Times New Roman"/>
                <w:shd w:fill="FFFFFF" w:val="clear"/>
                <w:lang w:val="en-US"/>
              </w:rPr>
              <w:t>B</w:t>
            </w:r>
            <w:r>
              <w:rPr>
                <w:rFonts w:cs="Times New Roman" w:ascii="Times New Roman" w:hAnsi="Times New Roman"/>
                <w:shd w:fill="FFFFFF" w:val="clear"/>
              </w:rPr>
              <w:t>í thư;</w:t>
            </w:r>
            <w:r>
              <w:rPr>
                <w:rFonts w:cs="Times New Roman" w:ascii="Times New Roman" w:hAnsi="Times New Roman"/>
              </w:rPr>
              <w:br/>
            </w:r>
            <w:r>
              <w:rPr>
                <w:rFonts w:cs="Times New Roman" w:ascii="Times New Roman" w:hAnsi="Times New Roman"/>
                <w:shd w:fill="FFFFFF" w:val="clear"/>
              </w:rPr>
              <w:t>- Văn phòng Quốc hội;</w:t>
            </w:r>
            <w:r>
              <w:rPr>
                <w:rFonts w:cs="Times New Roman" w:ascii="Times New Roman" w:hAnsi="Times New Roman"/>
              </w:rPr>
              <w:br/>
            </w:r>
            <w:r>
              <w:rPr>
                <w:rFonts w:cs="Times New Roman" w:ascii="Times New Roman" w:hAnsi="Times New Roman"/>
                <w:shd w:fill="FFFFFF" w:val="clear"/>
              </w:rPr>
              <w:t>- Văn phòng Chủ tịch nước;</w:t>
            </w:r>
            <w:r>
              <w:rPr>
                <w:rFonts w:cs="Times New Roman" w:ascii="Times New Roman" w:hAnsi="Times New Roman"/>
              </w:rPr>
              <w:br/>
            </w:r>
            <w:r>
              <w:rPr>
                <w:rFonts w:cs="Times New Roman" w:ascii="Times New Roman" w:hAnsi="Times New Roman"/>
                <w:shd w:fill="FFFFFF" w:val="clear"/>
              </w:rPr>
              <w:t xml:space="preserve">- Viện </w:t>
            </w:r>
            <w:r>
              <w:rPr>
                <w:rFonts w:cs="Times New Roman" w:ascii="Times New Roman" w:hAnsi="Times New Roman"/>
                <w:shd w:fill="FFFFFF" w:val="clear"/>
                <w:lang w:val="en-US"/>
              </w:rPr>
              <w:t>k</w:t>
            </w:r>
            <w:r>
              <w:rPr>
                <w:rFonts w:cs="Times New Roman" w:ascii="Times New Roman" w:hAnsi="Times New Roman"/>
                <w:shd w:fill="FFFFFF" w:val="clear"/>
              </w:rPr>
              <w:t>iểm sát nhân dân tối cao;</w:t>
            </w:r>
            <w:r>
              <w:rPr>
                <w:rFonts w:cs="Times New Roman" w:ascii="Times New Roman" w:hAnsi="Times New Roman"/>
              </w:rPr>
              <w:br/>
            </w:r>
            <w:r>
              <w:rPr>
                <w:rFonts w:cs="Times New Roman" w:ascii="Times New Roman" w:hAnsi="Times New Roman"/>
                <w:shd w:fill="FFFFFF" w:val="clear"/>
              </w:rPr>
              <w:t xml:space="preserve">- Toà án </w:t>
            </w:r>
            <w:r>
              <w:rPr>
                <w:rFonts w:cs="Times New Roman" w:ascii="Times New Roman" w:hAnsi="Times New Roman"/>
                <w:shd w:fill="FFFFFF" w:val="clear"/>
                <w:lang w:val="en-US"/>
              </w:rPr>
              <w:t>n</w:t>
            </w:r>
            <w:r>
              <w:rPr>
                <w:rFonts w:cs="Times New Roman" w:ascii="Times New Roman" w:hAnsi="Times New Roman"/>
                <w:shd w:fill="FFFFFF" w:val="clear"/>
              </w:rPr>
              <w:t>hân dân tối cao;</w:t>
            </w:r>
            <w:r>
              <w:rPr>
                <w:rFonts w:cs="Times New Roman" w:ascii="Times New Roman" w:hAnsi="Times New Roman"/>
              </w:rPr>
              <w:br/>
            </w:r>
            <w:r>
              <w:rPr>
                <w:rFonts w:cs="Times New Roman" w:ascii="Times New Roman" w:hAnsi="Times New Roman"/>
                <w:shd w:fill="FFFFFF" w:val="clear"/>
              </w:rPr>
              <w:t xml:space="preserve">- Kiểm toán </w:t>
            </w:r>
            <w:r>
              <w:rPr>
                <w:rFonts w:cs="Times New Roman" w:ascii="Times New Roman" w:hAnsi="Times New Roman"/>
                <w:shd w:fill="FFFFFF" w:val="clear"/>
                <w:lang w:val="en-US"/>
              </w:rPr>
              <w:t>n</w:t>
            </w:r>
            <w:r>
              <w:rPr>
                <w:rFonts w:cs="Times New Roman" w:ascii="Times New Roman" w:hAnsi="Times New Roman"/>
                <w:shd w:fill="FFFFFF" w:val="clear"/>
              </w:rPr>
              <w:t>hà nước;</w:t>
            </w:r>
            <w:r>
              <w:rPr>
                <w:rFonts w:cs="Times New Roman" w:ascii="Times New Roman" w:hAnsi="Times New Roman"/>
              </w:rPr>
              <w:br/>
            </w:r>
            <w:r>
              <w:rPr>
                <w:rFonts w:cs="Times New Roman" w:ascii="Times New Roman" w:hAnsi="Times New Roman"/>
                <w:shd w:fill="FFFFFF" w:val="clear"/>
              </w:rPr>
              <w:t>- Các Bộ, cơ quan ngang Bộ, cơ quan thuộc Chính phủ;</w:t>
            </w:r>
            <w:r>
              <w:rPr>
                <w:rFonts w:cs="Times New Roman" w:ascii="Times New Roman" w:hAnsi="Times New Roman"/>
              </w:rPr>
              <w:br/>
            </w:r>
            <w:r>
              <w:rPr>
                <w:rFonts w:cs="Times New Roman" w:ascii="Times New Roman" w:hAnsi="Times New Roman"/>
                <w:shd w:fill="FFFFFF" w:val="clear"/>
              </w:rPr>
              <w:t>- Cơ quan trung ương của các tổ chức đoàn thể;</w:t>
            </w:r>
            <w:r>
              <w:rPr>
                <w:rFonts w:cs="Times New Roman" w:ascii="Times New Roman" w:hAnsi="Times New Roman"/>
              </w:rPr>
              <w:br/>
            </w:r>
            <w:r>
              <w:rPr>
                <w:rFonts w:cs="Times New Roman" w:ascii="Times New Roman" w:hAnsi="Times New Roman"/>
                <w:shd w:fill="FFFFFF" w:val="clear"/>
              </w:rPr>
              <w:t xml:space="preserve">- HĐND, UBND các tỉnh, </w:t>
            </w:r>
            <w:r>
              <w:rPr>
                <w:rFonts w:cs="Times New Roman" w:ascii="Times New Roman" w:hAnsi="Times New Roman"/>
                <w:shd w:fill="FFFFFF" w:val="clear"/>
                <w:lang w:val="en-US"/>
              </w:rPr>
              <w:t>thành phố</w:t>
            </w:r>
            <w:r>
              <w:rPr>
                <w:rFonts w:cs="Times New Roman" w:ascii="Times New Roman" w:hAnsi="Times New Roman"/>
                <w:shd w:fill="FFFFFF" w:val="clear"/>
              </w:rPr>
              <w:t xml:space="preserve"> trực thuộc Trung ương;</w:t>
            </w:r>
            <w:r>
              <w:rPr>
                <w:rFonts w:cs="Times New Roman" w:ascii="Times New Roman" w:hAnsi="Times New Roman"/>
              </w:rPr>
              <w:br/>
            </w:r>
            <w:r>
              <w:rPr>
                <w:rFonts w:cs="Times New Roman" w:ascii="Times New Roman" w:hAnsi="Times New Roman"/>
                <w:shd w:fill="FFFFFF" w:val="clear"/>
              </w:rPr>
              <w:t xml:space="preserve">- Sở Tài chính các tỉnh, </w:t>
            </w:r>
            <w:r>
              <w:rPr>
                <w:rFonts w:cs="Times New Roman" w:ascii="Times New Roman" w:hAnsi="Times New Roman"/>
                <w:shd w:fill="FFFFFF" w:val="clear"/>
                <w:lang w:val="en-US"/>
              </w:rPr>
              <w:t>thành phố</w:t>
            </w:r>
            <w:r>
              <w:rPr>
                <w:rFonts w:cs="Times New Roman" w:ascii="Times New Roman" w:hAnsi="Times New Roman"/>
                <w:shd w:fill="FFFFFF" w:val="clear"/>
              </w:rPr>
              <w:t xml:space="preserve"> trực thuộc Trung ương;</w:t>
            </w:r>
            <w:r>
              <w:rPr>
                <w:rFonts w:cs="Times New Roman" w:ascii="Times New Roman" w:hAnsi="Times New Roman"/>
              </w:rPr>
              <w:br/>
            </w:r>
            <w:r>
              <w:rPr>
                <w:rFonts w:cs="Times New Roman" w:ascii="Times New Roman" w:hAnsi="Times New Roman"/>
                <w:shd w:fill="FFFFFF" w:val="clear"/>
              </w:rPr>
              <w:t>- Cục Kiểm tra văn bản QPPL (Bộ Tư pháp);</w:t>
            </w:r>
            <w:r>
              <w:rPr>
                <w:rFonts w:cs="Times New Roman" w:ascii="Times New Roman" w:hAnsi="Times New Roman"/>
              </w:rPr>
              <w:br/>
            </w:r>
            <w:r>
              <w:rPr>
                <w:rFonts w:cs="Times New Roman" w:ascii="Times New Roman" w:hAnsi="Times New Roman"/>
                <w:shd w:fill="FFFFFF" w:val="clear"/>
              </w:rPr>
              <w:t>- Công báo;</w:t>
            </w:r>
            <w:r>
              <w:rPr>
                <w:rFonts w:cs="Times New Roman" w:ascii="Times New Roman" w:hAnsi="Times New Roman"/>
              </w:rPr>
              <w:br/>
            </w:r>
            <w:r>
              <w:rPr>
                <w:rFonts w:cs="Times New Roman" w:ascii="Times New Roman" w:hAnsi="Times New Roman"/>
                <w:shd w:fill="FFFFFF" w:val="clear"/>
              </w:rPr>
              <w:t>- Cổng thông tin điện tử Chính phủ;</w:t>
            </w:r>
            <w:r>
              <w:rPr>
                <w:rFonts w:cs="Times New Roman" w:ascii="Times New Roman" w:hAnsi="Times New Roman"/>
              </w:rPr>
              <w:br/>
            </w:r>
            <w:r>
              <w:rPr>
                <w:rFonts w:cs="Times New Roman" w:ascii="Times New Roman" w:hAnsi="Times New Roman"/>
                <w:shd w:fill="FFFFFF" w:val="clear"/>
              </w:rPr>
              <w:t>- Cổng thông tin điện tử Bộ Tài chính;</w:t>
            </w:r>
            <w:r>
              <w:rPr>
                <w:rFonts w:cs="Times New Roman" w:ascii="Times New Roman" w:hAnsi="Times New Roman"/>
              </w:rPr>
              <w:br/>
            </w:r>
            <w:r>
              <w:rPr>
                <w:rFonts w:cs="Times New Roman" w:ascii="Times New Roman" w:hAnsi="Times New Roman"/>
                <w:shd w:fill="FFFFFF" w:val="clear"/>
              </w:rPr>
              <w:t>- Các đơn vị thuộc Bộ Tài chính;</w:t>
            </w:r>
            <w:r>
              <w:rPr>
                <w:rFonts w:cs="Times New Roman" w:ascii="Times New Roman" w:hAnsi="Times New Roman"/>
              </w:rPr>
              <w:br/>
            </w:r>
            <w:r>
              <w:rPr>
                <w:rFonts w:cs="Times New Roman" w:ascii="Times New Roman" w:hAnsi="Times New Roman"/>
                <w:shd w:fill="FFFFFF" w:val="clear"/>
              </w:rPr>
              <w:t>- Lưu: VT, QLCS.</w:t>
            </w:r>
            <w:r>
              <w:rPr>
                <w:rFonts w:cs="Times New Roman" w:ascii="Times New Roman" w:hAnsi="Times New Roman"/>
                <w:shd w:fill="FFFFFF" w:val="clear"/>
                <w:lang w:val="en-US"/>
              </w:rPr>
              <w:t>(200b)</w:t>
            </w:r>
          </w:p>
        </w:tc>
        <w:tc>
          <w:tcPr>
            <w:tcW w:w="3184" w:type="dxa"/>
            <w:tcBorders/>
            <w:shd w:fill="FFFFFF" w:val="clear"/>
            <w:tcMar>
              <w:left w:w="0" w:type="dxa"/>
              <w:right w:w="0" w:type="dxa"/>
            </w:tcMar>
          </w:tcPr>
          <w:p>
            <w:pPr>
              <w:pStyle w:val="Normal"/>
              <w:widowControl w:val="false"/>
              <w:spacing w:lineRule="auto" w:line="240" w:before="0" w:after="0"/>
              <w:jc w:val="center"/>
              <w:rPr>
                <w:rFonts w:ascii="Times New Roman" w:hAnsi="Times New Roman" w:cs="Times New Roman"/>
                <w:b/>
                <w:sz w:val="26"/>
                <w:szCs w:val="26"/>
                <w:lang w:val="nl-NL"/>
              </w:rPr>
            </w:pPr>
            <w:r>
              <w:rPr>
                <w:rFonts w:cs="Times New Roman" w:ascii="Times New Roman" w:hAnsi="Times New Roman"/>
                <w:b/>
                <w:sz w:val="26"/>
                <w:szCs w:val="26"/>
                <w:lang w:val="nl-NL"/>
              </w:rPr>
              <w:t>KT. BỘ TRƯỞNG</w:t>
            </w:r>
          </w:p>
          <w:p>
            <w:pPr>
              <w:pStyle w:val="Normal"/>
              <w:widowControl w:val="false"/>
              <w:spacing w:lineRule="auto" w:line="240" w:before="0" w:after="0"/>
              <w:jc w:val="center"/>
              <w:rPr>
                <w:rFonts w:ascii="Times New Roman" w:hAnsi="Times New Roman" w:cs="Times New Roman"/>
                <w:b/>
                <w:sz w:val="26"/>
                <w:szCs w:val="26"/>
                <w:lang w:val="nl-NL"/>
              </w:rPr>
            </w:pPr>
            <w:r>
              <w:rPr>
                <w:rFonts w:cs="Times New Roman" w:ascii="Times New Roman" w:hAnsi="Times New Roman"/>
                <w:b/>
                <w:sz w:val="26"/>
                <w:szCs w:val="26"/>
                <w:lang w:val="nl-NL"/>
              </w:rPr>
              <w:t>THỨ TRƯỞNG</w:t>
            </w:r>
          </w:p>
          <w:p>
            <w:pPr>
              <w:pStyle w:val="Normal"/>
              <w:widowControl w:val="false"/>
              <w:spacing w:lineRule="auto" w:line="240" w:before="0" w:after="0"/>
              <w:jc w:val="center"/>
              <w:rPr>
                <w:rFonts w:ascii="Times New Roman" w:hAnsi="Times New Roman" w:cs="Times New Roman"/>
                <w:b/>
                <w:sz w:val="28"/>
                <w:szCs w:val="28"/>
                <w:lang w:val="nl-NL"/>
              </w:rPr>
            </w:pPr>
            <w:r>
              <w:rPr>
                <w:rFonts w:cs="Times New Roman" w:ascii="Times New Roman" w:hAnsi="Times New Roman"/>
                <w:b/>
                <w:sz w:val="28"/>
                <w:szCs w:val="28"/>
                <w:lang w:val="nl-NL"/>
              </w:rPr>
            </w:r>
          </w:p>
          <w:p>
            <w:pPr>
              <w:pStyle w:val="Normal"/>
              <w:widowControl w:val="false"/>
              <w:spacing w:lineRule="auto" w:line="240" w:before="0" w:after="0"/>
              <w:jc w:val="center"/>
              <w:rPr>
                <w:rFonts w:ascii="Times New Roman" w:hAnsi="Times New Roman" w:cs="Times New Roman"/>
                <w:b/>
                <w:i/>
                <w:i/>
                <w:sz w:val="28"/>
                <w:szCs w:val="28"/>
                <w:lang w:val="en-US"/>
              </w:rPr>
            </w:pPr>
            <w:r>
              <w:rPr>
                <w:rFonts w:cs="Times New Roman" w:ascii="Times New Roman" w:hAnsi="Times New Roman"/>
                <w:b/>
                <w:i/>
                <w:sz w:val="28"/>
                <w:szCs w:val="28"/>
                <w:lang w:val="en-US"/>
              </w:rPr>
              <w:t>Đã ký</w:t>
            </w:r>
          </w:p>
          <w:p>
            <w:pPr>
              <w:pStyle w:val="Normal"/>
              <w:widowControl w:val="false"/>
              <w:spacing w:lineRule="auto" w:line="240" w:before="0" w:after="0"/>
              <w:jc w:val="center"/>
              <w:rPr>
                <w:rFonts w:ascii="Times New Roman" w:hAnsi="Times New Roman" w:cs="Times New Roman"/>
                <w:b/>
                <w:i/>
                <w:i/>
                <w:sz w:val="28"/>
                <w:szCs w:val="28"/>
                <w:lang w:val="en-US"/>
              </w:rPr>
            </w:pPr>
            <w:r>
              <w:rPr>
                <w:rFonts w:cs="Times New Roman" w:ascii="Times New Roman" w:hAnsi="Times New Roman"/>
                <w:b/>
                <w:i/>
                <w:sz w:val="28"/>
                <w:szCs w:val="28"/>
                <w:lang w:val="en-US"/>
              </w:rPr>
            </w:r>
          </w:p>
          <w:p>
            <w:pPr>
              <w:pStyle w:val="Normal"/>
              <w:widowControl w:val="false"/>
              <w:spacing w:lineRule="auto" w:line="240" w:before="0" w:after="0"/>
              <w:jc w:val="center"/>
              <w:rPr>
                <w:rFonts w:ascii="Times New Roman" w:hAnsi="Times New Roman" w:eastAsia="Times New Roman" w:cs="Times New Roman"/>
                <w:b/>
                <w:bCs/>
                <w:iCs/>
                <w:sz w:val="26"/>
                <w:szCs w:val="26"/>
                <w:lang w:eastAsia="vi-VN"/>
              </w:rPr>
            </w:pPr>
            <w:r>
              <w:rPr>
                <w:rFonts w:cs="Times New Roman" w:ascii="Times New Roman" w:hAnsi="Times New Roman"/>
                <w:b/>
                <w:sz w:val="28"/>
                <w:szCs w:val="28"/>
                <w:lang w:val="nl-NL"/>
              </w:rPr>
              <w:t>Bùi Văn Khắng</w:t>
            </w:r>
          </w:p>
        </w:tc>
      </w:tr>
    </w:tbl>
    <w:p>
      <w:pPr>
        <w:pStyle w:val="Normal"/>
        <w:widowControl w:val="false"/>
        <w:shd w:fill="FFFFFF" w:val="clear"/>
        <w:spacing w:lineRule="auto" w:line="240" w:before="120" w:after="120"/>
        <w:jc w:val="both"/>
        <w:rPr>
          <w:rFonts w:ascii="Times New Roman" w:hAnsi="Times New Roman" w:eastAsia="Times New Roman" w:cs="Times New Roman"/>
          <w:i/>
          <w:i/>
          <w:color w:val="FF0000"/>
          <w:sz w:val="28"/>
          <w:szCs w:val="28"/>
          <w:lang w:val="en-US" w:eastAsia="vi-VN"/>
        </w:rPr>
      </w:pPr>
      <w:r>
        <w:rPr>
          <w:rFonts w:eastAsia="Times New Roman" w:cs="Times New Roman" w:ascii="Times New Roman" w:hAnsi="Times New Roman"/>
          <w:i/>
          <w:color w:val="FF0000"/>
          <w:sz w:val="28"/>
          <w:szCs w:val="28"/>
          <w:lang w:val="en-US" w:eastAsia="vi-VN"/>
        </w:rPr>
      </w:r>
    </w:p>
    <w:sectPr>
      <w:headerReference w:type="default" r:id="rId10"/>
      <w:headerReference w:type="first" r:id="rId11"/>
      <w:type w:val="nextPage"/>
      <w:pgSz w:w="11906" w:h="16838"/>
      <w:pgMar w:left="1985" w:right="851" w:gutter="0" w:header="709" w:top="1418" w:footer="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cs="Times New Roman"/>
        <w:sz w:val="24"/>
        <w:szCs w:val="24"/>
      </w:rPr>
    </w:pPr>
    <w:r>
      <w:rPr>
        <w:rFonts w:cs="Times New Roman" w:ascii="Times New Roman" w:hAnsi="Times New Roman"/>
        <w:sz w:val="24"/>
        <w:szCs w:val="24"/>
      </w:rPr>
      <w:fldChar w:fldCharType="begin"/>
    </w:r>
    <w:r>
      <w:rPr>
        <w:sz w:val="24"/>
        <w:szCs w:val="24"/>
        <w:rFonts w:cs="Times New Roman" w:ascii="Times New Roman" w:hAnsi="Times New Roman"/>
      </w:rPr>
      <w:instrText xml:space="preserve"> PAGE </w:instrText>
    </w:r>
    <w:r>
      <w:rPr>
        <w:sz w:val="24"/>
        <w:szCs w:val="24"/>
        <w:rFonts w:cs="Times New Roman" w:ascii="Times New Roman" w:hAnsi="Times New Roman"/>
      </w:rPr>
      <w:fldChar w:fldCharType="separate"/>
    </w:r>
    <w:r>
      <w:rPr>
        <w:sz w:val="24"/>
        <w:szCs w:val="24"/>
        <w:rFonts w:cs="Times New Roman" w:ascii="Times New Roman" w:hAnsi="Times New Roman"/>
      </w:rPr>
      <w:t>19</w:t>
    </w:r>
    <w:r>
      <w:rPr>
        <w:sz w:val="24"/>
        <w:szCs w:val="24"/>
        <w:rFonts w:cs="Times New Roman" w:ascii="Times New Roman" w:hAnsi="Times New Roman"/>
      </w:rPr>
      <w:fldChar w:fldCharType="end"/>
    </w:r>
  </w:p>
  <w:p>
    <w:pPr>
      <w:pStyle w:val="Header"/>
      <w:rPr>
        <w:rFonts w:ascii="Times New Roman" w:hAnsi="Times New Roman" w:cs="Times New Roman"/>
        <w:sz w:val="24"/>
        <w:szCs w:val="24"/>
      </w:rPr>
    </w:pPr>
    <w:r>
      <w:rPr>
        <w:rFonts w:cs="Times New Roman" w:ascii="Times New Roman" w:hAnsi="Times New Roman"/>
        <w:sz w:val="24"/>
        <w:szCs w:val="24"/>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927"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6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Arial" w:hAnsi="Arial" w:eastAsia="Arial" w:cs="Times New Roman"/>
      <w:color w:val="auto"/>
      <w:sz w:val="22"/>
      <w:szCs w:val="22"/>
      <w:lang w:val="vi-VN" w:bidi="ar-SA" w:eastAsia="zh-CN"/>
    </w:rPr>
  </w:style>
  <w:style w:type="character" w:styleId="WW8Num1z0">
    <w:name w:val="WW8Num1z0"/>
    <w:qFormat/>
    <w:rPr>
      <w:rFonts w:ascii="Times New Roman" w:hAnsi="Times New Roman" w:eastAsia="Arial" w:cs="Times New Roman"/>
      <w:color w:val="000000"/>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rFonts w:eastAsia="Arial"/>
      <w:color w:val="000000"/>
    </w:rPr>
  </w:style>
  <w:style w:type="character" w:styleId="DefaultParagraphFont">
    <w:name w:val="Default Paragraph Font"/>
    <w:qFormat/>
    <w:rPr/>
  </w:style>
  <w:style w:type="character" w:styleId="Strong">
    <w:name w:val="Strong"/>
    <w:qFormat/>
    <w:rPr>
      <w:b/>
      <w:bCs/>
    </w:rPr>
  </w:style>
  <w:style w:type="character" w:styleId="Emphasis">
    <w:name w:val="Emphasis"/>
    <w:qFormat/>
    <w:rPr>
      <w:i/>
      <w:iCs/>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FootnoteTextChar">
    <w:name w:val="Footnote Text Char"/>
    <w:qFormat/>
    <w:rPr>
      <w:lang w:val="vi-VN"/>
    </w:rPr>
  </w:style>
  <w:style w:type="character" w:styleId="FootnoteCharacters">
    <w:name w:val="Footnote Characters"/>
    <w:qFormat/>
    <w:rPr>
      <w:vertAlign w:val="superscript"/>
    </w:rPr>
  </w:style>
  <w:style w:type="character" w:styleId="DocumentMapChar">
    <w:name w:val="Document Map Char"/>
    <w:qFormat/>
    <w:rPr>
      <w:rFonts w:ascii="Tahoma" w:hAnsi="Tahoma" w:cs="Tahoma"/>
      <w:sz w:val="16"/>
      <w:szCs w:val="16"/>
    </w:rPr>
  </w:style>
  <w:style w:type="character" w:styleId="BalloonTextChar">
    <w:name w:val="Balloon Text Char"/>
    <w:qFormat/>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FootnoteText">
    <w:name w:val="Footnote Text"/>
    <w:basedOn w:val="Normal"/>
    <w:pPr/>
    <w:rPr>
      <w:sz w:val="20"/>
      <w:szCs w:val="20"/>
    </w:rPr>
  </w:style>
  <w:style w:type="paragraph" w:styleId="DocumentMap">
    <w:name w:val="Document Map"/>
    <w:basedOn w:val="Normal"/>
    <w:qFormat/>
    <w:pPr/>
    <w:rPr>
      <w:rFonts w:ascii="Tahoma" w:hAnsi="Tahoma" w:cs="Tahoma"/>
      <w:sz w:val="16"/>
      <w:szCs w:val="16"/>
      <w:lang w:val="en-US"/>
    </w:rPr>
  </w:style>
  <w:style w:type="paragraph" w:styleId="Revision">
    <w:name w:val="Revision"/>
    <w:qFormat/>
    <w:pPr>
      <w:widowControl/>
      <w:bidi w:val="0"/>
    </w:pPr>
    <w:rPr>
      <w:rFonts w:ascii="Arial" w:hAnsi="Arial" w:eastAsia="Arial" w:cs="Times New Roman"/>
      <w:color w:val="auto"/>
      <w:sz w:val="22"/>
      <w:szCs w:val="22"/>
      <w:lang w:val="vi-VN" w:bidi="ar-SA" w:eastAsia="zh-CN"/>
    </w:rPr>
  </w:style>
  <w:style w:type="paragraph" w:styleId="BalloonText">
    <w:name w:val="Balloon Text"/>
    <w:basedOn w:val="Normal"/>
    <w:qFormat/>
    <w:pPr>
      <w:spacing w:lineRule="auto" w:line="240" w:before="0" w:after="0"/>
    </w:pPr>
    <w:rPr>
      <w:rFonts w:ascii="Tahoma" w:hAnsi="Tahoma" w:cs="Tahoma"/>
      <w:sz w:val="16"/>
      <w:szCs w:val="16"/>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huvienphapluat.vn/van-ban/xay-dung-do-thi/nghi-dinh-43-2022-nd-cp-quan-ly-su-dung-tai-san-ket-cau-ha-tang-cap-nuoc-sach-519947.aspx" TargetMode="External"/><Relationship Id="rId3" Type="http://schemas.openxmlformats.org/officeDocument/2006/relationships/hyperlink" Target="https://thuvienphapluat.vn/van-ban/bo-may-hanh-chinh/nghi-dinh-87-2017-nd-cp-chuc-nang-nhiem-vu-quyen-han-va-co-cau-to-chuc-cua-bo-tai-chinh-327957.aspx" TargetMode="External"/><Relationship Id="rId4" Type="http://schemas.openxmlformats.org/officeDocument/2006/relationships/hyperlink" Target="https://thuvienphapluat.vn/van-ban/xay-dung-do-thi/nghi-dinh-43-2022-nd-cp-quan-ly-su-dung-tai-san-ket-cau-ha-tang-cap-nuoc-sach-519947.aspx" TargetMode="External"/><Relationship Id="rId5" Type="http://schemas.openxmlformats.org/officeDocument/2006/relationships/hyperlink" Target="https://thuvienphapluat.vn/van-ban/xay-dung-do-thi/nghi-dinh-43-2022-nd-cp-quan-ly-su-dung-tai-san-ket-cau-ha-tang-cap-nuoc-sach-519947.aspx" TargetMode="External"/><Relationship Id="rId6" Type="http://schemas.openxmlformats.org/officeDocument/2006/relationships/hyperlink" Target="https://thuvienphapluat.vn/van-ban/xay-dung-do-thi/nghi-dinh-43-2022-nd-cp-quan-ly-su-dung-tai-san-ket-cau-ha-tang-cap-nuoc-sach-519947.aspx" TargetMode="External"/><Relationship Id="rId7" Type="http://schemas.openxmlformats.org/officeDocument/2006/relationships/hyperlink" Target="https://thuvienphapluat.vn/van-ban/xay-dung-do-thi/nghi-dinh-43-2022-nd-cp-quan-ly-su-dung-tai-san-ket-cau-ha-tang-cap-nuoc-sach-519947.aspx" TargetMode="External"/><Relationship Id="rId8" Type="http://schemas.openxmlformats.org/officeDocument/2006/relationships/hyperlink" Target="https://thuvienphapluat.vn/van-ban/xay-dung-do-thi/nghi-dinh-43-2022-nd-cp-quan-ly-su-dung-tai-san-ket-cau-ha-tang-cap-nuoc-sach-519947.aspx" TargetMode="External"/><Relationship Id="rId9" Type="http://schemas.openxmlformats.org/officeDocument/2006/relationships/hyperlink" Target="https://thuvienphapluat.vn/van-ban/xay-dung-do-thi/nghi-dinh-43-2022-nd-cp-quan-ly-su-dung-tai-san-ket-cau-ha-tang-cap-nuoc-sach-519947.aspx"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2025-01-15T19:38:00Z</dcterms:created>
  <dc:creator>vuhongtrang</dc:creator>
  <dc:description/>
  <dc:language>en-US</dc:language>
  <cp:lastModifiedBy>John Scott</cp:lastModifiedBy>
  <cp:lastPrinted>2025-01-06T09:33:00Z</cp:lastPrinted>
  <dcterms:modified xsi:type="dcterms:W3CDTF">2025-01-15T19:38:00Z</dcterms:modified>
  <cp:revision>2</cp:revision>
  <dc:subject/>
  <dc:title/>
</cp:coreProperties>
</file>