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574"/>
        <w:gridCol w:w="5831"/>
      </w:tblGrid>
      <w:tr>
        <w:trPr/>
        <w:tc>
          <w:tcPr>
            <w:tcW w:w="3574" w:type="dxa"/>
            <w:tcBorders/>
          </w:tcPr>
          <w:p>
            <w:pPr>
              <w:pStyle w:val="Normal"/>
              <w:spacing w:before="0" w:after="120"/>
              <w:jc w:val="center"/>
              <w:rPr>
                <w:rFonts w:ascii="Arial" w:hAnsi="Arial" w:cs="Arial"/>
                <w:b/>
                <w:sz w:val="20"/>
                <w:szCs w:val="20"/>
              </w:rPr>
            </w:pPr>
            <w:r>
              <w:rPr>
                <w:rFonts w:cs="Arial" w:ascii="Arial" w:hAnsi="Arial"/>
                <w:b/>
                <w:sz w:val="20"/>
              </w:rPr>
              <w:t xml:space="preserve">BỘ TÀI NGUYÊN VÀ </w:t>
              <w:br/>
              <w:t>MÔI TRƯỜNG</w:t>
              <w:br/>
              <w:t>--------</w:t>
            </w:r>
          </w:p>
        </w:tc>
        <w:tc>
          <w:tcPr>
            <w:tcW w:w="5831" w:type="dxa"/>
            <w:tcBorders/>
          </w:tcPr>
          <w:p>
            <w:pPr>
              <w:pStyle w:val="Normal"/>
              <w:spacing w:before="0" w:after="12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574" w:type="dxa"/>
            <w:tcBorders/>
          </w:tcPr>
          <w:p>
            <w:pPr>
              <w:pStyle w:val="Normal"/>
              <w:spacing w:before="0" w:after="120"/>
              <w:jc w:val="center"/>
              <w:rPr>
                <w:rFonts w:ascii="Arial" w:hAnsi="Arial" w:cs="Arial"/>
                <w:b/>
                <w:sz w:val="20"/>
              </w:rPr>
            </w:pPr>
            <w:r>
              <w:rPr>
                <w:rFonts w:cs="Arial" w:ascii="Arial" w:hAnsi="Arial"/>
                <w:sz w:val="20"/>
              </w:rPr>
              <w:t>Số: 1545/QĐ-BTNMT</w:t>
            </w:r>
          </w:p>
        </w:tc>
        <w:tc>
          <w:tcPr>
            <w:tcW w:w="5831" w:type="dxa"/>
            <w:tcBorders/>
          </w:tcPr>
          <w:p>
            <w:pPr>
              <w:pStyle w:val="Normal"/>
              <w:spacing w:before="0" w:after="120"/>
              <w:jc w:val="right"/>
              <w:rPr>
                <w:rFonts w:ascii="Arial" w:hAnsi="Arial" w:cs="Arial"/>
                <w:b/>
                <w:i/>
                <w:i/>
                <w:sz w:val="20"/>
                <w:szCs w:val="20"/>
              </w:rPr>
            </w:pPr>
            <w:r>
              <w:rPr>
                <w:rFonts w:cs="Arial" w:ascii="Arial" w:hAnsi="Arial"/>
                <w:i/>
                <w:sz w:val="20"/>
                <w:szCs w:val="26"/>
              </w:rPr>
              <w:t xml:space="preserve">Hà Nội, ngày 10 </w:t>
            </w:r>
            <w:r>
              <w:rPr>
                <w:rFonts w:cs="Arial" w:ascii="Arial" w:hAnsi="Arial"/>
                <w:i/>
                <w:iCs/>
                <w:sz w:val="20"/>
                <w:szCs w:val="26"/>
              </w:rPr>
              <w:t xml:space="preserve">tháng 6 </w:t>
            </w:r>
            <w:r>
              <w:rPr>
                <w:rFonts w:cs="Arial" w:ascii="Arial" w:hAnsi="Arial"/>
                <w:i/>
                <w:sz w:val="20"/>
                <w:szCs w:val="26"/>
              </w:rPr>
              <w:t>năm 20</w:t>
            </w:r>
            <w:r>
              <w:rPr>
                <w:rFonts w:cs="Arial" w:ascii="Arial" w:hAnsi="Arial"/>
                <w:i/>
                <w:iCs/>
                <w:sz w:val="20"/>
                <w:szCs w:val="26"/>
              </w:rPr>
              <w:t>24</w:t>
            </w:r>
          </w:p>
        </w:tc>
      </w:tr>
    </w:tbl>
    <w:p>
      <w:pPr>
        <w:pStyle w:val="Normal"/>
        <w:autoSpaceDE w:val="false"/>
        <w:spacing w:before="0" w:after="120"/>
        <w:rPr>
          <w:rFonts w:ascii="Arial" w:hAnsi="Arial" w:cs="Arial"/>
          <w:sz w:val="20"/>
          <w:szCs w:val="22"/>
        </w:rPr>
      </w:pPr>
      <w:r>
        <w:rPr>
          <w:rFonts w:cs="Arial" w:ascii="Arial" w:hAnsi="Arial"/>
          <w:sz w:val="20"/>
          <w:szCs w:val="22"/>
        </w:rPr>
      </w:r>
    </w:p>
    <w:p>
      <w:pPr>
        <w:pStyle w:val="Normal"/>
        <w:autoSpaceDE w:val="false"/>
        <w:spacing w:before="0" w:after="120"/>
        <w:jc w:val="center"/>
        <w:rPr>
          <w:rFonts w:ascii="Arial" w:hAnsi="Arial" w:cs="Arial"/>
          <w:b/>
          <w:szCs w:val="26"/>
        </w:rPr>
      </w:pPr>
      <w:bookmarkStart w:id="0" w:name="loai_1"/>
      <w:r>
        <w:rPr>
          <w:rFonts w:cs="Arial" w:ascii="Arial" w:hAnsi="Arial"/>
          <w:b/>
          <w:szCs w:val="26"/>
        </w:rPr>
        <w:t>QUYẾT ĐỊNH</w:t>
      </w:r>
      <w:bookmarkEnd w:id="0"/>
    </w:p>
    <w:p>
      <w:pPr>
        <w:pStyle w:val="Normal"/>
        <w:autoSpaceDE w:val="false"/>
        <w:spacing w:before="0" w:after="120"/>
        <w:jc w:val="center"/>
        <w:rPr>
          <w:rFonts w:ascii="Arial" w:hAnsi="Arial" w:cs="Arial"/>
          <w:sz w:val="20"/>
          <w:szCs w:val="26"/>
        </w:rPr>
      </w:pPr>
      <w:bookmarkStart w:id="1" w:name="loai_1_name"/>
      <w:r>
        <w:rPr>
          <w:rFonts w:cs="Arial" w:ascii="Arial" w:hAnsi="Arial"/>
          <w:sz w:val="20"/>
          <w:szCs w:val="26"/>
        </w:rPr>
        <w:t>VỀ VIỆC CÔNG BỐ THỦ TỤC HÀNH CHÍNH MỚI BAN HÀNH; THỦ TỤC HÀNH CHÍNH SỬA ĐỔI, BỔ SUNG; THỦ TỤC HÀNH CHÍNH THAY THẾ VÀ THỦ TỤC HÀNH CHÍNH BỊ BÃI BỎ TRONG LĨNH VỰC TÀI NGUYÊN NƯỚC THUỘC PHẠM VI CHỨC NĂNG QUẢN LÝ NHÀ NƯỚC CỦA BỘ TÀI NGUYÊN VÀ MÔI TRƯỜNG</w:t>
      </w:r>
      <w:bookmarkEnd w:id="1"/>
    </w:p>
    <w:p>
      <w:pPr>
        <w:pStyle w:val="Normal"/>
        <w:autoSpaceDE w:val="false"/>
        <w:spacing w:before="0" w:after="120"/>
        <w:jc w:val="center"/>
        <w:rPr>
          <w:rFonts w:ascii="Arial" w:hAnsi="Arial" w:cs="Arial"/>
          <w:b/>
          <w:szCs w:val="26"/>
        </w:rPr>
      </w:pPr>
      <w:r>
        <w:rPr>
          <w:rFonts w:cs="Arial" w:ascii="Arial" w:hAnsi="Arial"/>
          <w:b/>
          <w:szCs w:val="26"/>
        </w:rPr>
        <w:t>BỘ TRƯỞNG BỘ TÀI NGUYÊN VÀ MÔI TRƯỜNG</w:t>
      </w:r>
    </w:p>
    <w:p>
      <w:pPr>
        <w:pStyle w:val="Normal"/>
        <w:autoSpaceDE w:val="false"/>
        <w:spacing w:before="0" w:after="120"/>
        <w:rPr>
          <w:rFonts w:ascii="Arial" w:hAnsi="Arial" w:cs="Arial"/>
          <w:i/>
          <w:i/>
          <w:sz w:val="20"/>
          <w:szCs w:val="26"/>
        </w:rPr>
      </w:pPr>
      <w:r>
        <w:rPr>
          <w:rFonts w:cs="Arial" w:ascii="Arial" w:hAnsi="Arial"/>
          <w:i/>
          <w:sz w:val="20"/>
          <w:szCs w:val="26"/>
        </w:rPr>
        <w:t>Căn cứ Luật Tài nguyên nước ngày 27 tháng 11 năm 2023;</w:t>
      </w:r>
    </w:p>
    <w:p>
      <w:pPr>
        <w:pStyle w:val="Normal"/>
        <w:autoSpaceDE w:val="false"/>
        <w:spacing w:before="0" w:after="120"/>
        <w:rPr/>
      </w:pPr>
      <w:r>
        <w:rPr>
          <w:rFonts w:cs="Arial" w:ascii="Arial" w:hAnsi="Arial"/>
          <w:i/>
          <w:iCs/>
          <w:sz w:val="20"/>
          <w:szCs w:val="26"/>
        </w:rPr>
        <w:t>C</w:t>
      </w:r>
      <w:r>
        <w:rPr>
          <w:rFonts w:cs="Arial" w:ascii="Arial" w:hAnsi="Arial"/>
          <w:i/>
          <w:sz w:val="20"/>
          <w:szCs w:val="26"/>
        </w:rPr>
        <w:t xml:space="preserve">ăn cứ Nghị định số </w:t>
      </w:r>
      <w:r>
        <w:rPr>
          <w:rFonts w:cs="Arial" w:ascii="Arial" w:hAnsi="Arial"/>
          <w:i/>
          <w:iCs/>
          <w:sz w:val="20"/>
          <w:szCs w:val="26"/>
        </w:rPr>
        <w:t>68/2022/N</w:t>
      </w:r>
      <w:r>
        <w:rPr>
          <w:rFonts w:cs="Arial" w:ascii="Arial" w:hAnsi="Arial"/>
          <w:i/>
          <w:sz w:val="20"/>
          <w:szCs w:val="26"/>
        </w:rPr>
        <w:t>Đ</w:t>
      </w:r>
      <w:r>
        <w:rPr>
          <w:rFonts w:cs="Arial" w:ascii="Arial" w:hAnsi="Arial"/>
          <w:i/>
          <w:iCs/>
          <w:sz w:val="20"/>
          <w:szCs w:val="26"/>
        </w:rPr>
        <w:t>-CP ngày 22 tháng 9 n</w:t>
      </w:r>
      <w:r>
        <w:rPr>
          <w:rFonts w:cs="Arial" w:ascii="Arial" w:hAnsi="Arial"/>
          <w:i/>
          <w:sz w:val="20"/>
          <w:szCs w:val="26"/>
        </w:rPr>
        <w:t>ă</w:t>
      </w:r>
      <w:r>
        <w:rPr>
          <w:rFonts w:cs="Arial" w:ascii="Arial" w:hAnsi="Arial"/>
          <w:i/>
          <w:iCs/>
          <w:sz w:val="20"/>
          <w:szCs w:val="26"/>
        </w:rPr>
        <w:t xml:space="preserve">m 2022 </w:t>
      </w:r>
      <w:r>
        <w:rPr>
          <w:rFonts w:cs="Arial" w:ascii="Arial" w:hAnsi="Arial"/>
          <w:i/>
          <w:sz w:val="20"/>
          <w:szCs w:val="26"/>
        </w:rPr>
        <w:t xml:space="preserve">của Chính phủ quy định chức năng, nhiệm vụ quyền hạn và cơ cấu tổ chức của Bộ Tài </w:t>
      </w:r>
      <w:r>
        <w:rPr>
          <w:rFonts w:cs="Arial" w:ascii="Arial" w:hAnsi="Arial"/>
          <w:i/>
          <w:iCs/>
          <w:sz w:val="20"/>
          <w:szCs w:val="26"/>
        </w:rPr>
        <w:t>nguyên và Môi tr</w:t>
      </w:r>
      <w:r>
        <w:rPr>
          <w:rFonts w:cs="Arial" w:ascii="Arial" w:hAnsi="Arial"/>
          <w:i/>
          <w:sz w:val="20"/>
          <w:szCs w:val="26"/>
        </w:rPr>
        <w:t>ường;</w:t>
      </w:r>
    </w:p>
    <w:p>
      <w:pPr>
        <w:pStyle w:val="Normal"/>
        <w:autoSpaceDE w:val="false"/>
        <w:spacing w:before="0" w:after="120"/>
        <w:rPr/>
      </w:pPr>
      <w:r>
        <w:rPr>
          <w:rFonts w:cs="Arial" w:ascii="Arial" w:hAnsi="Arial"/>
          <w:i/>
          <w:iCs/>
          <w:sz w:val="20"/>
          <w:szCs w:val="26"/>
        </w:rPr>
        <w:t>C</w:t>
      </w:r>
      <w:r>
        <w:rPr>
          <w:rFonts w:cs="Arial" w:ascii="Arial" w:hAnsi="Arial"/>
          <w:i/>
          <w:sz w:val="20"/>
          <w:szCs w:val="26"/>
        </w:rPr>
        <w:t>ăn cứ Nghị định số 63/2010/NĐ</w:t>
      </w:r>
      <w:r>
        <w:rPr>
          <w:rFonts w:cs="Arial" w:ascii="Arial" w:hAnsi="Arial"/>
          <w:i/>
          <w:iCs/>
          <w:sz w:val="20"/>
          <w:szCs w:val="26"/>
        </w:rPr>
        <w:t>-CP ngày 08 tháng 6 n</w:t>
      </w:r>
      <w:r>
        <w:rPr>
          <w:rFonts w:cs="Arial" w:ascii="Arial" w:hAnsi="Arial"/>
          <w:i/>
          <w:sz w:val="20"/>
          <w:szCs w:val="26"/>
        </w:rPr>
        <w:t>ăm 2010 củ</w:t>
      </w:r>
      <w:r>
        <w:rPr>
          <w:rFonts w:cs="Arial" w:ascii="Arial" w:hAnsi="Arial"/>
          <w:i/>
          <w:iCs/>
          <w:sz w:val="20"/>
          <w:szCs w:val="26"/>
        </w:rPr>
        <w:t>a Chính p</w:t>
      </w:r>
      <w:r>
        <w:rPr>
          <w:rFonts w:cs="Arial" w:ascii="Arial" w:hAnsi="Arial"/>
          <w:i/>
          <w:sz w:val="20"/>
          <w:szCs w:val="26"/>
        </w:rPr>
        <w:t>hủ về kiểm soát thủ tục hành chính; Nghị định số 48/2013/NĐ</w:t>
      </w:r>
      <w:r>
        <w:rPr>
          <w:rFonts w:cs="Arial" w:ascii="Arial" w:hAnsi="Arial"/>
          <w:i/>
          <w:iCs/>
          <w:sz w:val="20"/>
          <w:szCs w:val="26"/>
        </w:rPr>
        <w:t>-CP ngày 14 tháng 5 n</w:t>
      </w:r>
      <w:r>
        <w:rPr>
          <w:rFonts w:cs="Arial" w:ascii="Arial" w:hAnsi="Arial"/>
          <w:i/>
          <w:sz w:val="20"/>
          <w:szCs w:val="26"/>
        </w:rPr>
        <w:t xml:space="preserve">ăm 2013 của Chính phủ sửa đổi, bổ sung một số điều của các nghị định liên </w:t>
      </w:r>
      <w:r>
        <w:rPr>
          <w:rFonts w:cs="Arial" w:ascii="Arial" w:hAnsi="Arial"/>
          <w:i/>
          <w:iCs/>
          <w:sz w:val="20"/>
          <w:szCs w:val="26"/>
        </w:rPr>
        <w:t xml:space="preserve">quan </w:t>
      </w:r>
      <w:r>
        <w:rPr>
          <w:rFonts w:cs="Arial" w:ascii="Arial" w:hAnsi="Arial"/>
          <w:i/>
          <w:sz w:val="20"/>
          <w:szCs w:val="26"/>
        </w:rPr>
        <w:t>đến kiểm soát thủ tục hành chính và Nghị định số 92/2017/NĐ</w:t>
      </w:r>
      <w:r>
        <w:rPr>
          <w:rFonts w:cs="Arial" w:ascii="Arial" w:hAnsi="Arial"/>
          <w:i/>
          <w:iCs/>
          <w:sz w:val="20"/>
          <w:szCs w:val="26"/>
        </w:rPr>
        <w:t>-CP ngày 07 tháng 8 n</w:t>
      </w:r>
      <w:r>
        <w:rPr>
          <w:rFonts w:cs="Arial" w:ascii="Arial" w:hAnsi="Arial"/>
          <w:i/>
          <w:sz w:val="20"/>
          <w:szCs w:val="26"/>
        </w:rPr>
        <w:t>ă</w:t>
      </w:r>
      <w:r>
        <w:rPr>
          <w:rFonts w:cs="Arial" w:ascii="Arial" w:hAnsi="Arial"/>
          <w:i/>
          <w:iCs/>
          <w:sz w:val="20"/>
          <w:szCs w:val="26"/>
        </w:rPr>
        <w:t xml:space="preserve">m 2017 </w:t>
      </w:r>
      <w:r>
        <w:rPr>
          <w:rFonts w:cs="Arial" w:ascii="Arial" w:hAnsi="Arial"/>
          <w:i/>
          <w:sz w:val="20"/>
          <w:szCs w:val="26"/>
        </w:rPr>
        <w:t xml:space="preserve">của Chính phủ sửa đổi, bổ sung một số điều của các nghị định </w:t>
      </w:r>
      <w:r>
        <w:rPr>
          <w:rFonts w:cs="Arial" w:ascii="Arial" w:hAnsi="Arial"/>
          <w:i/>
          <w:iCs/>
          <w:sz w:val="20"/>
          <w:szCs w:val="26"/>
        </w:rPr>
        <w:t xml:space="preserve">liên quan </w:t>
      </w:r>
      <w:r>
        <w:rPr>
          <w:rFonts w:cs="Arial" w:ascii="Arial" w:hAnsi="Arial"/>
          <w:i/>
          <w:sz w:val="20"/>
          <w:szCs w:val="26"/>
        </w:rPr>
        <w:t>đến kiểm soát thủ tục hành chính;</w:t>
      </w:r>
    </w:p>
    <w:p>
      <w:pPr>
        <w:pStyle w:val="Normal"/>
        <w:autoSpaceDE w:val="false"/>
        <w:spacing w:before="0" w:after="120"/>
        <w:rPr/>
      </w:pPr>
      <w:r>
        <w:rPr>
          <w:rFonts w:cs="Arial" w:ascii="Arial" w:hAnsi="Arial"/>
          <w:i/>
          <w:sz w:val="20"/>
          <w:szCs w:val="26"/>
        </w:rPr>
        <w:t xml:space="preserve">Căn cứ Nghị định số </w:t>
      </w:r>
      <w:r>
        <w:rPr>
          <w:rFonts w:cs="Arial" w:ascii="Arial" w:hAnsi="Arial"/>
          <w:i/>
          <w:iCs/>
          <w:sz w:val="20"/>
          <w:szCs w:val="26"/>
        </w:rPr>
        <w:t>53/2024</w:t>
      </w:r>
      <w:r>
        <w:rPr>
          <w:rFonts w:cs="Arial" w:ascii="Arial" w:hAnsi="Arial"/>
          <w:i/>
          <w:sz w:val="20"/>
          <w:szCs w:val="26"/>
        </w:rPr>
        <w:t>/NĐ</w:t>
      </w:r>
      <w:r>
        <w:rPr>
          <w:rFonts w:cs="Arial" w:ascii="Arial" w:hAnsi="Arial"/>
          <w:i/>
          <w:iCs/>
          <w:sz w:val="20"/>
          <w:szCs w:val="26"/>
        </w:rPr>
        <w:t xml:space="preserve">-CP ngày 16 tháng 5 </w:t>
      </w:r>
      <w:r>
        <w:rPr>
          <w:rFonts w:cs="Arial" w:ascii="Arial" w:hAnsi="Arial"/>
          <w:i/>
          <w:sz w:val="20"/>
          <w:szCs w:val="26"/>
        </w:rPr>
        <w:t>năm 202</w:t>
      </w:r>
      <w:r>
        <w:rPr>
          <w:rFonts w:cs="Arial" w:ascii="Arial" w:hAnsi="Arial"/>
          <w:i/>
          <w:iCs/>
          <w:sz w:val="20"/>
          <w:szCs w:val="26"/>
        </w:rPr>
        <w:t xml:space="preserve">4 </w:t>
      </w:r>
      <w:r>
        <w:rPr>
          <w:rFonts w:cs="Arial" w:ascii="Arial" w:hAnsi="Arial"/>
          <w:i/>
          <w:sz w:val="20"/>
          <w:szCs w:val="26"/>
        </w:rPr>
        <w:t>của Chính phủ Quy định chi tiết thi hành một số điều của Luật Tài nguyên nước;</w:t>
      </w:r>
    </w:p>
    <w:p>
      <w:pPr>
        <w:pStyle w:val="Normal"/>
        <w:autoSpaceDE w:val="false"/>
        <w:spacing w:before="0" w:after="120"/>
        <w:rPr>
          <w:rFonts w:ascii="Arial" w:hAnsi="Arial" w:cs="Arial"/>
          <w:i/>
          <w:i/>
          <w:sz w:val="20"/>
          <w:szCs w:val="26"/>
        </w:rPr>
      </w:pPr>
      <w:r>
        <w:rPr>
          <w:rFonts w:cs="Arial" w:ascii="Arial" w:hAnsi="Arial"/>
          <w:i/>
          <w:sz w:val="20"/>
          <w:szCs w:val="26"/>
        </w:rPr>
        <w:t>Căn cứ Nghị định số 5</w:t>
      </w:r>
      <w:r>
        <w:rPr>
          <w:rFonts w:cs="Arial" w:ascii="Arial" w:hAnsi="Arial"/>
          <w:i/>
          <w:iCs/>
          <w:sz w:val="20"/>
          <w:szCs w:val="26"/>
        </w:rPr>
        <w:t>4</w:t>
      </w:r>
      <w:r>
        <w:rPr>
          <w:rFonts w:cs="Arial" w:ascii="Arial" w:hAnsi="Arial"/>
          <w:i/>
          <w:sz w:val="20"/>
          <w:szCs w:val="26"/>
        </w:rPr>
        <w:t>/2024/NĐ</w:t>
      </w:r>
      <w:r>
        <w:rPr>
          <w:rFonts w:cs="Arial" w:ascii="Arial" w:hAnsi="Arial"/>
          <w:i/>
          <w:iCs/>
          <w:sz w:val="20"/>
          <w:szCs w:val="26"/>
        </w:rPr>
        <w:t>-</w:t>
      </w:r>
      <w:r>
        <w:rPr>
          <w:rFonts w:cs="Arial" w:ascii="Arial" w:hAnsi="Arial"/>
          <w:i/>
          <w:sz w:val="20"/>
          <w:szCs w:val="26"/>
        </w:rPr>
        <w:t>CP ngày 16 tháng 5 năm 202</w:t>
      </w:r>
      <w:r>
        <w:rPr>
          <w:rFonts w:cs="Arial" w:ascii="Arial" w:hAnsi="Arial"/>
          <w:i/>
          <w:iCs/>
          <w:sz w:val="20"/>
          <w:szCs w:val="26"/>
        </w:rPr>
        <w:t xml:space="preserve">4 </w:t>
      </w:r>
      <w:r>
        <w:rPr>
          <w:rFonts w:cs="Arial" w:ascii="Arial" w:hAnsi="Arial"/>
          <w:i/>
          <w:sz w:val="20"/>
          <w:szCs w:val="26"/>
        </w:rPr>
        <w:t>của Chính phủ Quy định việc hành nghề khoan nước dưới đất, kê khai, đăng ký, cấp phép, dịch vụ tài nguyên nước và tiền cấp quyền khai thác tài nguyên nước</w:t>
      </w:r>
      <w:r>
        <w:rPr>
          <w:rFonts w:cs="Arial" w:ascii="Arial" w:hAnsi="Arial"/>
          <w:i/>
          <w:iCs/>
          <w:sz w:val="20"/>
          <w:szCs w:val="26"/>
        </w:rPr>
        <w:t>;</w:t>
      </w:r>
    </w:p>
    <w:p>
      <w:pPr>
        <w:pStyle w:val="Normal"/>
        <w:autoSpaceDE w:val="false"/>
        <w:spacing w:before="0" w:after="120"/>
        <w:rPr/>
      </w:pPr>
      <w:r>
        <w:rPr>
          <w:rFonts w:cs="Arial" w:ascii="Arial" w:hAnsi="Arial"/>
          <w:i/>
          <w:iCs/>
          <w:sz w:val="20"/>
          <w:szCs w:val="26"/>
        </w:rPr>
        <w:t>C</w:t>
      </w:r>
      <w:r>
        <w:rPr>
          <w:rFonts w:cs="Arial" w:ascii="Arial" w:hAnsi="Arial"/>
          <w:i/>
          <w:sz w:val="20"/>
          <w:szCs w:val="26"/>
        </w:rPr>
        <w:t>ăn cứ Thông tư số 02/2017/TT</w:t>
      </w:r>
      <w:r>
        <w:rPr>
          <w:rFonts w:cs="Arial" w:ascii="Arial" w:hAnsi="Arial"/>
          <w:i/>
          <w:iCs/>
          <w:sz w:val="20"/>
          <w:szCs w:val="26"/>
        </w:rPr>
        <w:t>-VPCP ngày 31 tháng 10 n</w:t>
      </w:r>
      <w:r>
        <w:rPr>
          <w:rFonts w:cs="Arial" w:ascii="Arial" w:hAnsi="Arial"/>
          <w:i/>
          <w:sz w:val="20"/>
          <w:szCs w:val="26"/>
        </w:rPr>
        <w:t xml:space="preserve">ăm 2017 của </w:t>
      </w:r>
      <w:r>
        <w:rPr>
          <w:rFonts w:cs="Arial" w:ascii="Arial" w:hAnsi="Arial"/>
          <w:i/>
          <w:iCs/>
          <w:sz w:val="20"/>
          <w:szCs w:val="26"/>
        </w:rPr>
        <w:t>V</w:t>
      </w:r>
      <w:r>
        <w:rPr>
          <w:rFonts w:cs="Arial" w:ascii="Arial" w:hAnsi="Arial"/>
          <w:i/>
          <w:sz w:val="20"/>
          <w:szCs w:val="26"/>
        </w:rPr>
        <w:t>ăn phòng Chính phủ hướng dẫn về nghiệp vụ kiểm soát thủ tục hành chính;</w:t>
      </w:r>
    </w:p>
    <w:p>
      <w:pPr>
        <w:pStyle w:val="Normal"/>
        <w:autoSpaceDE w:val="false"/>
        <w:spacing w:before="0" w:after="120"/>
        <w:rPr>
          <w:rFonts w:ascii="Arial" w:hAnsi="Arial" w:cs="Arial"/>
          <w:i/>
          <w:i/>
          <w:sz w:val="20"/>
          <w:szCs w:val="26"/>
        </w:rPr>
      </w:pPr>
      <w:r>
        <w:rPr>
          <w:rFonts w:cs="Arial" w:ascii="Arial" w:hAnsi="Arial"/>
          <w:i/>
          <w:sz w:val="20"/>
          <w:szCs w:val="26"/>
        </w:rPr>
        <w:t>Căn cứ Thông tư số 03/2024/TT-BTNMT ngày 16 tháng 5 năm 2024 của Bộ trưởng Bộ Tài nguyên và Môi trường Quy định chi tiết thi hành một số điều của Luật tài nguyên nước;</w:t>
      </w:r>
    </w:p>
    <w:p>
      <w:pPr>
        <w:pStyle w:val="Normal"/>
        <w:autoSpaceDE w:val="false"/>
        <w:spacing w:before="0" w:after="120"/>
        <w:rPr>
          <w:rFonts w:ascii="Arial" w:hAnsi="Arial" w:cs="Arial"/>
          <w:i/>
          <w:i/>
          <w:sz w:val="20"/>
          <w:szCs w:val="26"/>
        </w:rPr>
      </w:pPr>
      <w:r>
        <w:rPr>
          <w:rFonts w:cs="Arial" w:ascii="Arial" w:hAnsi="Arial"/>
          <w:i/>
          <w:sz w:val="20"/>
          <w:szCs w:val="26"/>
        </w:rPr>
        <w:t>Theo đề nghị của Cục trưởng Cục Quản lý tài nguyên nước và Chánh Văn phòng Bộ Tài nguyên và Môi trường.</w:t>
      </w:r>
    </w:p>
    <w:p>
      <w:pPr>
        <w:pStyle w:val="Normal"/>
        <w:autoSpaceDE w:val="false"/>
        <w:spacing w:before="0" w:after="120"/>
        <w:jc w:val="center"/>
        <w:rPr>
          <w:rFonts w:ascii="Arial" w:hAnsi="Arial" w:cs="Arial"/>
          <w:b/>
          <w:szCs w:val="26"/>
        </w:rPr>
      </w:pPr>
      <w:r>
        <w:rPr>
          <w:rFonts w:cs="Arial" w:ascii="Arial" w:hAnsi="Arial"/>
          <w:b/>
          <w:szCs w:val="26"/>
        </w:rPr>
        <w:t>QUYẾT ĐỊNH:</w:t>
      </w:r>
    </w:p>
    <w:p>
      <w:pPr>
        <w:pStyle w:val="Normal"/>
        <w:autoSpaceDE w:val="false"/>
        <w:spacing w:before="0" w:after="120"/>
        <w:rPr>
          <w:rFonts w:ascii="Arial" w:hAnsi="Arial" w:cs="Arial"/>
          <w:sz w:val="20"/>
          <w:szCs w:val="26"/>
        </w:rPr>
      </w:pPr>
      <w:bookmarkStart w:id="2" w:name="dieu_1"/>
      <w:r>
        <w:rPr>
          <w:rFonts w:cs="Arial" w:ascii="Arial" w:hAnsi="Arial"/>
          <w:b/>
          <w:sz w:val="20"/>
          <w:szCs w:val="26"/>
        </w:rPr>
        <w:t>Điều 1.</w:t>
      </w:r>
      <w:bookmarkEnd w:id="2"/>
      <w:r>
        <w:rPr>
          <w:rFonts w:cs="Arial" w:ascii="Arial" w:hAnsi="Arial"/>
          <w:b/>
          <w:sz w:val="20"/>
          <w:szCs w:val="26"/>
        </w:rPr>
        <w:t xml:space="preserve"> </w:t>
      </w:r>
      <w:bookmarkStart w:id="3" w:name="dieu_1_name"/>
      <w:r>
        <w:rPr>
          <w:rFonts w:cs="Arial" w:ascii="Arial" w:hAnsi="Arial"/>
          <w:sz w:val="20"/>
          <w:szCs w:val="26"/>
        </w:rPr>
        <w:t>Công bố kèm theo Quyết định này thủ tục hành chính mới ban hành; thủ tục hành chính sửa đổi, bổ sung; thủ tục hành chính thay thế và thủ tục hành chính bị bãi bỏ trong lĩnh vực tài nguyên nước thuộc phạm vi chức năng quản lý nhà nước của Bộ Tài nguyên và Môi trường.</w:t>
      </w:r>
      <w:bookmarkEnd w:id="3"/>
    </w:p>
    <w:p>
      <w:pPr>
        <w:pStyle w:val="Normal"/>
        <w:autoSpaceDE w:val="false"/>
        <w:spacing w:before="0" w:after="120"/>
        <w:rPr>
          <w:rFonts w:ascii="Arial" w:hAnsi="Arial" w:cs="Arial"/>
          <w:sz w:val="20"/>
          <w:szCs w:val="26"/>
        </w:rPr>
      </w:pPr>
      <w:bookmarkStart w:id="4" w:name="dieu_2"/>
      <w:r>
        <w:rPr>
          <w:rFonts w:cs="Arial" w:ascii="Arial" w:hAnsi="Arial"/>
          <w:b/>
          <w:sz w:val="20"/>
          <w:szCs w:val="26"/>
        </w:rPr>
        <w:t>Điều 2.</w:t>
      </w:r>
      <w:bookmarkEnd w:id="4"/>
      <w:r>
        <w:rPr>
          <w:rFonts w:cs="Arial" w:ascii="Arial" w:hAnsi="Arial"/>
          <w:b/>
          <w:bCs/>
          <w:sz w:val="20"/>
          <w:szCs w:val="26"/>
        </w:rPr>
        <w:t xml:space="preserve"> </w:t>
      </w:r>
      <w:bookmarkStart w:id="5" w:name="dieu_2_name"/>
      <w:r>
        <w:rPr>
          <w:rFonts w:cs="Arial" w:ascii="Arial" w:hAnsi="Arial"/>
          <w:sz w:val="20"/>
          <w:szCs w:val="26"/>
        </w:rPr>
        <w:t>Quyết định này có hiệu lực thi hành kể từ ngày 01 tháng 7 năm 2024.</w:t>
      </w:r>
      <w:bookmarkEnd w:id="5"/>
    </w:p>
    <w:p>
      <w:pPr>
        <w:pStyle w:val="Normal"/>
        <w:autoSpaceDE w:val="false"/>
        <w:spacing w:before="0" w:after="120"/>
        <w:rPr/>
      </w:pPr>
      <w:r>
        <w:rPr>
          <w:rFonts w:cs="Arial" w:ascii="Arial" w:hAnsi="Arial"/>
          <w:sz w:val="20"/>
          <w:szCs w:val="26"/>
        </w:rPr>
        <w:t>Các thủ tục hành chính được công bố tại các Quyết định số 706/QĐ- BTNMT ngày 15 tháng 4 năm 2021; Quyết định số 4044/QĐ-BTNMT ngày 30 tháng 12 năm 2022; Quyết định số 438/QĐ-BTNMT ngày 01 tháng 3 năm 2023; Quyết định số 1235/QĐ-BTNMT ngày 15 tháng 5 năm 2023; Quyết định số 2684/QĐ-BTNMT ngày 18 tháng 9 năm 2023 và Quyết định số 2031/QĐ- BTNMT ngày 21 tháng 7 năm 2023 của Bộ trưởng Bộ Tài nguyên và Môi trường về việc công bố thủ tục hành chính mới ban hành, thủ tục hành chính được sửa đổi, bổ sung trong lĩnh vực tài nguyên nước thuộc phạm vi chức năng quản lý của Bộ Tài nguyên và Môi trường hết hiệu lực thi hành.</w:t>
      </w:r>
    </w:p>
    <w:p>
      <w:pPr>
        <w:pStyle w:val="Normal"/>
        <w:autoSpaceDE w:val="false"/>
        <w:spacing w:before="0" w:after="120"/>
        <w:rPr>
          <w:rFonts w:ascii="Arial" w:hAnsi="Arial" w:cs="Arial"/>
          <w:sz w:val="20"/>
          <w:szCs w:val="26"/>
        </w:rPr>
      </w:pPr>
      <w:bookmarkStart w:id="6" w:name="dieu_3"/>
      <w:r>
        <w:rPr>
          <w:rFonts w:cs="Arial" w:ascii="Arial" w:hAnsi="Arial"/>
          <w:b/>
          <w:sz w:val="20"/>
          <w:szCs w:val="26"/>
        </w:rPr>
        <w:t>Điều 3.</w:t>
      </w:r>
      <w:bookmarkEnd w:id="6"/>
      <w:r>
        <w:rPr>
          <w:rFonts w:cs="Arial" w:ascii="Arial" w:hAnsi="Arial"/>
          <w:sz w:val="20"/>
          <w:szCs w:val="26"/>
        </w:rPr>
        <w:t xml:space="preserve"> </w:t>
      </w:r>
      <w:bookmarkStart w:id="7" w:name="dieu_3_name"/>
      <w:r>
        <w:rPr>
          <w:rFonts w:cs="Arial" w:ascii="Arial" w:hAnsi="Arial"/>
          <w:sz w:val="20"/>
          <w:szCs w:val="26"/>
        </w:rPr>
        <w:t>Chánh Văn phòng Bộ, Vụ trưởng Vụ Pháp chế, Cục trưởng Cục Quản lý tài nguyên nước, Thủ trưởng các đơn vị trực thuộc Bộ và các tổ chức, cá nhân có liên quan chịu trách nhiệm thi hành Quyết định này./.</w:t>
      </w:r>
      <w:bookmarkEnd w:id="7"/>
    </w:p>
    <w:p>
      <w:pPr>
        <w:pStyle w:val="Normal"/>
        <w:autoSpaceDE w:val="false"/>
        <w:spacing w:before="0" w:after="120"/>
        <w:rPr>
          <w:rFonts w:ascii="Arial" w:hAnsi="Arial" w:cs="Arial"/>
          <w:sz w:val="20"/>
          <w:szCs w:val="19"/>
        </w:rPr>
      </w:pPr>
      <w:r>
        <w:rPr>
          <w:rFonts w:cs="Arial" w:ascii="Arial" w:hAnsi="Arial"/>
          <w:sz w:val="20"/>
          <w:szCs w:val="19"/>
        </w:rPr>
      </w:r>
    </w:p>
    <w:tbl>
      <w:tblPr>
        <w:tblW w:w="8536" w:type="dxa"/>
        <w:jc w:val="left"/>
        <w:tblInd w:w="0" w:type="dxa"/>
        <w:tblLayout w:type="fixed"/>
        <w:tblCellMar>
          <w:top w:w="0" w:type="dxa"/>
          <w:left w:w="108" w:type="dxa"/>
          <w:bottom w:w="0" w:type="dxa"/>
          <w:right w:w="108" w:type="dxa"/>
        </w:tblCellMar>
      </w:tblPr>
      <w:tblGrid>
        <w:gridCol w:w="4428"/>
        <w:gridCol w:w="4108"/>
      </w:tblGrid>
      <w:tr>
        <w:trPr/>
        <w:tc>
          <w:tcPr>
            <w:tcW w:w="4428" w:type="dxa"/>
            <w:tcBorders/>
          </w:tcPr>
          <w:p>
            <w:pPr>
              <w:pStyle w:val="Normal"/>
              <w:spacing w:before="0" w:after="120"/>
              <w:rPr>
                <w:rFonts w:ascii="Arial" w:hAnsi="Arial" w:cs="Arial"/>
                <w:b/>
                <w:sz w:val="16"/>
                <w:szCs w:val="20"/>
              </w:rPr>
            </w:pPr>
            <w:r>
              <w:rPr>
                <w:rFonts w:cs="Arial" w:ascii="Arial" w:hAnsi="Arial"/>
                <w:sz w:val="16"/>
                <w:szCs w:val="22"/>
              </w:rPr>
              <w:br/>
            </w:r>
            <w:r>
              <w:rPr>
                <w:rFonts w:cs="Arial" w:ascii="Arial" w:hAnsi="Arial"/>
                <w:b/>
                <w:i/>
                <w:sz w:val="20"/>
                <w:szCs w:val="22"/>
              </w:rPr>
              <w:t>Nơi nhận:</w:t>
              <w:br/>
            </w:r>
            <w:r>
              <w:rPr>
                <w:rFonts w:cs="Arial" w:ascii="Arial" w:hAnsi="Arial"/>
                <w:sz w:val="16"/>
                <w:szCs w:val="20"/>
              </w:rPr>
              <w:t>- Như Điều 3;</w:t>
              <w:br/>
              <w:t>- Bộ trưởng Đặng Quốc Khánh (để báo cáo);</w:t>
              <w:br/>
              <w:t>- Bộ, cơ quan ngang Bộ, cơ quan thuộc Chính phủ;</w:t>
              <w:br/>
              <w:t>- UBND các tỉnh, thành phố trực thuộc TW;</w:t>
              <w:br/>
              <w:t>- Sở TN&amp;MT các tỉnh, thành phố trực thuộc TW;</w:t>
              <w:br/>
              <w:t>- Cục Kiểm soát TTHC, Văn phòng Chính phủ;</w:t>
              <w:br/>
              <w:t>- Bộ Tài nguyên và Môi trường: các Thứ trưởng; các Vụ, Văn phòng Bộ, Cổng thông tin điện tử Bộ;</w:t>
              <w:br/>
              <w:t>- Liên đoàn Thương mại và Công nghiệp Việt Nam;</w:t>
              <w:br/>
              <w:t>- Lưu: VT, TNN, VPB (KSTTHC).</w:t>
            </w:r>
          </w:p>
        </w:tc>
        <w:tc>
          <w:tcPr>
            <w:tcW w:w="4108" w:type="dxa"/>
            <w:tcBorders/>
          </w:tcPr>
          <w:p>
            <w:pPr>
              <w:pStyle w:val="Normal"/>
              <w:spacing w:before="0" w:after="120"/>
              <w:jc w:val="center"/>
              <w:rPr>
                <w:rFonts w:ascii="Arial" w:hAnsi="Arial" w:cs="Arial"/>
                <w:sz w:val="20"/>
                <w:szCs w:val="20"/>
              </w:rPr>
            </w:pPr>
            <w:r>
              <w:rPr>
                <w:rFonts w:cs="Arial" w:ascii="Arial" w:hAnsi="Arial"/>
                <w:b/>
                <w:bCs/>
                <w:sz w:val="20"/>
              </w:rPr>
              <w:t xml:space="preserve">KT. </w:t>
            </w:r>
            <w:r>
              <w:rPr>
                <w:rFonts w:cs="Arial" w:ascii="Arial" w:hAnsi="Arial"/>
                <w:b/>
                <w:sz w:val="20"/>
              </w:rPr>
              <w:t>BỘ TRƯỞNG</w:t>
              <w:br/>
              <w:t>THỨ TRƯỞNG</w:t>
              <w:br/>
              <w:br/>
              <w:br/>
              <w:br/>
              <w:br/>
            </w:r>
            <w:r>
              <w:rPr>
                <w:rFonts w:cs="Arial" w:ascii="Arial" w:hAnsi="Arial"/>
                <w:b/>
                <w:bCs/>
                <w:sz w:val="20"/>
                <w:szCs w:val="26"/>
              </w:rPr>
              <w:t>Lê Công Thành</w:t>
            </w:r>
          </w:p>
        </w:tc>
      </w:tr>
    </w:tbl>
    <w:p>
      <w:pPr>
        <w:pStyle w:val="Normal"/>
        <w:autoSpaceDE w:val="false"/>
        <w:spacing w:before="0" w:after="120"/>
        <w:rPr>
          <w:rFonts w:ascii="Arial" w:hAnsi="Arial" w:cs="Arial"/>
          <w:sz w:val="20"/>
          <w:szCs w:val="20"/>
        </w:rPr>
      </w:pPr>
      <w:r>
        <w:rPr>
          <w:rFonts w:cs="Arial" w:ascii="Arial" w:hAnsi="Arial"/>
          <w:sz w:val="20"/>
          <w:szCs w:val="20"/>
        </w:rPr>
      </w:r>
    </w:p>
    <w:p>
      <w:pPr>
        <w:pStyle w:val="Normal"/>
        <w:autoSpaceDE w:val="false"/>
        <w:spacing w:before="0" w:after="120"/>
        <w:jc w:val="center"/>
        <w:rPr>
          <w:rFonts w:ascii="Arial" w:hAnsi="Arial" w:cs="Arial"/>
          <w:b/>
          <w:bCs/>
          <w:szCs w:val="28"/>
        </w:rPr>
      </w:pPr>
      <w:bookmarkStart w:id="8" w:name="chuong_pl"/>
      <w:r>
        <w:rPr>
          <w:rFonts w:cs="Arial" w:ascii="Arial" w:hAnsi="Arial"/>
          <w:b/>
          <w:bCs/>
          <w:szCs w:val="28"/>
        </w:rPr>
        <w:t>DANH MỤC</w:t>
      </w:r>
      <w:bookmarkEnd w:id="8"/>
    </w:p>
    <w:p>
      <w:pPr>
        <w:pStyle w:val="Normal"/>
        <w:autoSpaceDE w:val="false"/>
        <w:spacing w:before="0" w:after="120"/>
        <w:jc w:val="center"/>
        <w:rPr>
          <w:rFonts w:ascii="Arial" w:hAnsi="Arial" w:cs="Arial"/>
          <w:sz w:val="20"/>
          <w:szCs w:val="28"/>
        </w:rPr>
      </w:pPr>
      <w:bookmarkStart w:id="9" w:name="chuong_pl_name"/>
      <w:r>
        <w:rPr>
          <w:rFonts w:cs="Arial" w:ascii="Arial" w:hAnsi="Arial"/>
          <w:bCs/>
          <w:sz w:val="20"/>
          <w:szCs w:val="28"/>
        </w:rPr>
        <w:t>THỦ TỤC HÀNH CHÍNH MỚI BAN HÀNH; THỦ TỤC HÀNH CHÍNH SỬA ĐỔI, BỔ SUNG; THỦ TỤC HÀNH CHÍNH THAY THẾ; THỦ TỤC HÀNH CHÍNH BỊ BÃI BỎ TRONG LĨNH VỰC TÀI NGUYÊN NƯỚC THUỘC PHẠM VI CHỨC NĂNG QUẢN LÝ CỦA BỘ TÀI NGUYÊN VÀ MÔI TRƯỜNG</w:t>
      </w:r>
      <w:bookmarkEnd w:id="9"/>
      <w:r>
        <w:rPr>
          <w:rFonts w:cs="Arial" w:ascii="Arial" w:hAnsi="Arial"/>
          <w:sz w:val="20"/>
          <w:szCs w:val="28"/>
        </w:rPr>
        <w:br/>
      </w:r>
      <w:r>
        <w:rPr>
          <w:rFonts w:cs="Arial" w:ascii="Arial" w:hAnsi="Arial"/>
          <w:i/>
          <w:iCs/>
          <w:sz w:val="20"/>
          <w:szCs w:val="28"/>
        </w:rPr>
        <w:t>(Kèm theo Quyết định số          /QĐ-BTNMT ngày    tháng    năm 2024 của Bộ trưởng Bộ Tài nguyên và Môi trường)</w:t>
      </w:r>
    </w:p>
    <w:p>
      <w:pPr>
        <w:pStyle w:val="Normal"/>
        <w:autoSpaceDE w:val="false"/>
        <w:spacing w:before="0" w:after="120"/>
        <w:rPr>
          <w:rFonts w:ascii="Arial" w:hAnsi="Arial" w:cs="Arial"/>
          <w:sz w:val="20"/>
          <w:szCs w:val="28"/>
        </w:rPr>
      </w:pPr>
      <w:bookmarkStart w:id="10" w:name="chuong_1"/>
      <w:r>
        <w:rPr>
          <w:rFonts w:cs="Arial" w:ascii="Arial" w:hAnsi="Arial"/>
          <w:b/>
          <w:bCs/>
          <w:sz w:val="20"/>
          <w:szCs w:val="28"/>
        </w:rPr>
        <w:t>PHẦN I. DANH MỤC THỦ TỤC HÀNH CHÍNH</w:t>
      </w:r>
      <w:bookmarkEnd w:id="10"/>
    </w:p>
    <w:p>
      <w:pPr>
        <w:pStyle w:val="Normal"/>
        <w:autoSpaceDE w:val="false"/>
        <w:spacing w:before="0" w:after="120"/>
        <w:rPr>
          <w:rFonts w:ascii="Arial" w:hAnsi="Arial" w:cs="Arial"/>
          <w:sz w:val="20"/>
          <w:szCs w:val="28"/>
        </w:rPr>
      </w:pPr>
      <w:bookmarkStart w:id="11" w:name="dieu_1_1"/>
      <w:r>
        <w:rPr>
          <w:rFonts w:cs="Arial" w:ascii="Arial" w:hAnsi="Arial"/>
          <w:b/>
          <w:bCs/>
          <w:sz w:val="20"/>
          <w:szCs w:val="28"/>
        </w:rPr>
        <w:t>1. Danh mục thủ tục hành chính mới ban hành trong lĩnh vực tài nguyên nước thuộc phạm vi chức năng quản lý của Bộ Tài nguyên và Môi trường</w:t>
      </w:r>
      <w:bookmarkEnd w:id="11"/>
    </w:p>
    <w:tbl>
      <w:tblPr>
        <w:tblW w:w="5000" w:type="pct"/>
        <w:jc w:val="left"/>
        <w:tblInd w:w="0" w:type="dxa"/>
        <w:tblLayout w:type="fixed"/>
        <w:tblCellMar>
          <w:top w:w="28" w:type="dxa"/>
          <w:left w:w="108" w:type="dxa"/>
          <w:bottom w:w="28" w:type="dxa"/>
          <w:right w:w="108" w:type="dxa"/>
        </w:tblCellMar>
      </w:tblPr>
      <w:tblGrid>
        <w:gridCol w:w="574"/>
        <w:gridCol w:w="3012"/>
        <w:gridCol w:w="3485"/>
        <w:gridCol w:w="1082"/>
        <w:gridCol w:w="1252"/>
      </w:tblGrid>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TT</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Tên thủ tục hành chính</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Tên VBQPPL quy định nội dung thủ tục hành chính</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Lĩnh vực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Cơ quan thực hiện</w:t>
            </w:r>
          </w:p>
        </w:tc>
      </w:tr>
      <w:tr>
        <w:trPr/>
        <w:tc>
          <w:tcPr>
            <w:tcW w:w="9405" w:type="dxa"/>
            <w:gridSpan w:val="5"/>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8"/>
              </w:rPr>
              <w:t>A. Thủ tục hành chính cấp trung ương</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8"/>
              </w:rPr>
              <w:t>1</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Tạm dừng hiệu lực giấy phép thăm dò nước dưới đất, giấy phép khai thác tài nguyên nước</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8"/>
              </w:rPr>
              <w:t>2</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Trả lại giấy phép hành nghề khoan nước dưới đất quy mô lớn</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8"/>
              </w:rPr>
              <w:t>3</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Chấp thuận nội dung về phương án chuyển nước</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53/2024/NĐ-CP.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8"/>
              </w:rPr>
              <w:t>4</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Thẩm định phương án điều chỉnh quy trình vận hành liên hồ chứa</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53/2024/NĐ-CP.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8"/>
              </w:rPr>
              <w:t>5</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Tính tiền cấp quyền khai thác tài nguyên nước đối với công trình cấp cho sinh hoạt đã đi vào vận hành và được cấp giấy phép khai thác tài nguyên nước nhưng chưa được phê duyệt tiền cấp quyền</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9405" w:type="dxa"/>
            <w:gridSpan w:val="5"/>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8"/>
              </w:rPr>
              <w:t>B. Thủ tục hành chính cấp tỉnh</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Tạm dừng hiệu lực giấy phép thăm dò nước dưới đất, giấy phép khai thác tài nguyên nước</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2</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Trả lại giấy phép hành nghề khoan nước dưới đất quy mô vừa và nhỏ</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Sở Tài nguyên và Môi trường</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3</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Đăng ký sử dụng mặt nước, đào hồ, ao, sông, suối, kênh, mương, rạch</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4</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Lấy ý kiến về phương án bổ sung nhân tạo nước dưới đất</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Thông tư số 03/2024/TT- BTNMT.</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Sở Tài nguyên và Môi trường</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5</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Lấy ý kiến về kết quả vận hành thử nghiệm bổ sung nhân tạo nước dưới đất</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Thông tư số 03/2024/TT- BTNMT.</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Sở Tài nguyên và Môi trường</w:t>
            </w:r>
          </w:p>
        </w:tc>
      </w:tr>
      <w:tr>
        <w:trPr/>
        <w:tc>
          <w:tcPr>
            <w:tcW w:w="57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8"/>
              </w:rPr>
              <w:t>6</w:t>
            </w:r>
          </w:p>
        </w:tc>
        <w:tc>
          <w:tcPr>
            <w:tcW w:w="301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Tính tiền cấp quyền khai thác tài nguyên nước đối với công trình cấp cho sinh hoạt đã đi vào vận hành và được cấp giấy phép khai thác tài nguyên nước nhưng chưa được phê duyệt tiền cấp quyền</w:t>
            </w:r>
          </w:p>
        </w:tc>
        <w:tc>
          <w:tcPr>
            <w:tcW w:w="348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8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2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bl>
    <w:p>
      <w:pPr>
        <w:pStyle w:val="Normal"/>
        <w:autoSpaceDE w:val="false"/>
        <w:spacing w:before="0" w:after="120"/>
        <w:rPr>
          <w:rFonts w:ascii="Arial" w:hAnsi="Arial" w:cs="Arial"/>
          <w:b/>
          <w:bCs/>
          <w:sz w:val="20"/>
          <w:szCs w:val="28"/>
        </w:rPr>
      </w:pPr>
      <w:bookmarkStart w:id="12" w:name="dieu_2_1"/>
      <w:r>
        <w:rPr>
          <w:rFonts w:cs="Arial" w:ascii="Arial" w:hAnsi="Arial"/>
          <w:b/>
          <w:bCs/>
          <w:sz w:val="20"/>
          <w:szCs w:val="28"/>
        </w:rPr>
        <w:t>2. Danh mục thủ tục hành chính được sửa đổi, bổ sung trong lĩnh vực tài nguyên nước thuộc phạm vi chức năng quản lý của Bộ Tài nguyên và Môi trường</w:t>
      </w:r>
      <w:bookmarkEnd w:id="12"/>
    </w:p>
    <w:tbl>
      <w:tblPr>
        <w:tblW w:w="5000" w:type="pct"/>
        <w:jc w:val="left"/>
        <w:tblInd w:w="0" w:type="dxa"/>
        <w:tblLayout w:type="fixed"/>
        <w:tblCellMar>
          <w:top w:w="28" w:type="dxa"/>
          <w:left w:w="108" w:type="dxa"/>
          <w:bottom w:w="28" w:type="dxa"/>
          <w:right w:w="108" w:type="dxa"/>
        </w:tblCellMar>
      </w:tblPr>
      <w:tblGrid>
        <w:gridCol w:w="556"/>
        <w:gridCol w:w="1220"/>
        <w:gridCol w:w="3181"/>
        <w:gridCol w:w="2007"/>
        <w:gridCol w:w="1292"/>
        <w:gridCol w:w="1149"/>
      </w:tblGrid>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rPr>
              <w:t>TT</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Mã hồ sơ thủ tục hành chính</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8"/>
              </w:rPr>
              <w:t>Tên thủ tục hành chính</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szCs w:val="28"/>
              </w:rPr>
            </w:pPr>
            <w:r>
              <w:rPr>
                <w:rFonts w:cs="Arial" w:ascii="Arial" w:hAnsi="Arial"/>
                <w:b/>
                <w:bCs/>
                <w:sz w:val="20"/>
                <w:szCs w:val="28"/>
              </w:rPr>
              <w:t>Tên VBQPPL quy định TTHC được sửa đổi,</w:t>
            </w:r>
          </w:p>
          <w:p>
            <w:pPr>
              <w:pStyle w:val="Normal"/>
              <w:autoSpaceDE w:val="false"/>
              <w:spacing w:before="0" w:after="120"/>
              <w:jc w:val="center"/>
              <w:rPr>
                <w:rFonts w:ascii="Arial" w:hAnsi="Arial" w:cs="Arial"/>
                <w:sz w:val="20"/>
              </w:rPr>
            </w:pPr>
            <w:r>
              <w:rPr>
                <w:rFonts w:cs="Arial" w:ascii="Arial" w:hAnsi="Arial"/>
                <w:b/>
                <w:bCs/>
                <w:sz w:val="20"/>
                <w:szCs w:val="28"/>
              </w:rPr>
              <w:t>bổ sung</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Lĩnh vực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Cơ quan thực hiện</w:t>
            </w:r>
          </w:p>
        </w:tc>
      </w:tr>
      <w:tr>
        <w:trPr/>
        <w:tc>
          <w:tcPr>
            <w:tcW w:w="9405" w:type="dxa"/>
            <w:gridSpan w:val="6"/>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8"/>
              </w:rPr>
              <w:t>A. Thủ tục hành chính cấp trung ương</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1.000657</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thăm dò nước dưới đất đối với công trình có quy mô từ 3.000 m</w:t>
            </w:r>
            <w:r>
              <w:rPr>
                <w:rFonts w:cs="Arial" w:ascii="Arial" w:hAnsi="Arial"/>
                <w:sz w:val="20"/>
                <w:szCs w:val="17"/>
              </w:rPr>
              <w:t>³</w:t>
            </w:r>
            <w:r>
              <w:rPr>
                <w:rFonts w:cs="Arial" w:ascii="Arial" w:hAnsi="Arial"/>
                <w:sz w:val="20"/>
                <w:szCs w:val="26"/>
              </w:rPr>
              <w:t>/ngày đêm trở lên</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2</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1.000606</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 điều chỉnh giấy phép thăm dò nước dưới đất đối với công trình có quy mô từ 3.000 m³/ngày đêm trở lên</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3</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1.000070</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khai thác nước dưới đất đối với công trình có quy mô từ 3.000 m³/ngày đêm trở lên</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4</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1.000060</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 điều chỉnh giấy phép khai thác nước dưới đất đối với công trình có quy mô từ 3.000 m³/ngày đêm trở lên</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5</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1.004285</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hành nghề khoan nước dưới đất quy mô lớn</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pPr>
            <w:r>
              <w:rPr>
                <w:rFonts w:cs="Arial" w:ascii="Arial" w:hAnsi="Arial"/>
                <w:sz w:val="20"/>
                <w:szCs w:val="26"/>
              </w:rPr>
              <w:t>- Nghị định số</w:t>
            </w:r>
          </w:p>
          <w:p>
            <w:pPr>
              <w:pStyle w:val="Normal"/>
              <w:autoSpaceDE w:val="false"/>
              <w:spacing w:before="0" w:after="120"/>
              <w:rPr>
                <w:rFonts w:ascii="Arial" w:hAnsi="Arial" w:cs="Arial"/>
                <w:sz w:val="20"/>
              </w:rPr>
            </w:pPr>
            <w:r>
              <w:rPr>
                <w:rFonts w:cs="Arial" w:ascii="Arial" w:hAnsi="Arial"/>
                <w:sz w:val="20"/>
                <w:szCs w:val="26"/>
              </w:rPr>
              <w:t>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6</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1.004302</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lại giấy phép hành nghề khoan nước dưới đất quy mô lớn</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7</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1.009667</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Tính tiền cấp quyền khai thác tài nguyên nước đối với công trình chưa vận hành</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8</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1.004453</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Tính tiền cấp quyền khai thác tài nguyên nước đối với công trình đã vận hành</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9</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1.004489</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Điều chỉnh tiền cấp quyền khai thác tài nguyên nước</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9405" w:type="dxa"/>
            <w:gridSpan w:val="6"/>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8"/>
              </w:rPr>
              <w:t>B. Thủ tục hành chính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1.004232</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thăm dò nước dưới đất đối với công trình có quy mô dưới 3.000 m³/ngày đêm</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2</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1.004228</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Gia hạn, điều chỉnh giấy phép thăm dò nước dưới đất đối với công trình có quy mô dưới 3.000 m³/ngày đêm</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color w:val="000000"/>
                <w:sz w:val="20"/>
                <w:szCs w:val="26"/>
              </w:rPr>
            </w:pPr>
            <w:r>
              <w:rPr>
                <w:rFonts w:cs="Arial" w:ascii="Arial" w:hAnsi="Arial"/>
                <w:color w:val="0D0D0D"/>
                <w:sz w:val="20"/>
                <w:szCs w:val="26"/>
              </w:rPr>
              <w:t>- Luật Tài nguyên nước 2023;</w:t>
            </w:r>
          </w:p>
          <w:p>
            <w:pPr>
              <w:pStyle w:val="Normal"/>
              <w:autoSpaceDE w:val="false"/>
              <w:spacing w:before="0" w:after="120"/>
              <w:rPr>
                <w:rFonts w:ascii="Arial" w:hAnsi="Arial" w:cs="Arial"/>
                <w:sz w:val="20"/>
              </w:rPr>
            </w:pPr>
            <w:r>
              <w:rPr>
                <w:rFonts w:cs="Arial" w:ascii="Arial" w:hAnsi="Arial"/>
                <w:color w:val="0D0D0D"/>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3</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7"/>
              </w:rPr>
              <w:t>1.004223</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7"/>
              </w:rPr>
              <w:t>Cấp giấy phép khai thác nước dưới đất đối với công trình có quy mô dưới 3.000 m³/ngày đêm</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color w:val="000000"/>
                <w:sz w:val="20"/>
                <w:szCs w:val="26"/>
              </w:rPr>
            </w:pPr>
            <w:r>
              <w:rPr>
                <w:rFonts w:cs="Arial" w:ascii="Arial" w:hAnsi="Arial"/>
                <w:color w:val="0D0D0D"/>
                <w:sz w:val="20"/>
                <w:szCs w:val="26"/>
              </w:rPr>
              <w:t>- Luật Tài nguyên nước 2023;</w:t>
            </w:r>
          </w:p>
          <w:p>
            <w:pPr>
              <w:pStyle w:val="Normal"/>
              <w:autoSpaceDE w:val="false"/>
              <w:spacing w:before="0" w:after="120"/>
              <w:rPr>
                <w:rFonts w:ascii="Arial" w:hAnsi="Arial" w:cs="Arial"/>
                <w:sz w:val="20"/>
              </w:rPr>
            </w:pPr>
            <w:r>
              <w:rPr>
                <w:rFonts w:cs="Arial" w:ascii="Arial" w:hAnsi="Arial"/>
                <w:color w:val="0D0D0D"/>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4</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rPr>
              <w:t>1.004211</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7"/>
              </w:rPr>
              <w:t>Gia hạn, điều chỉnh giấy phép khai thác nước dưới đất đối với công trình có quy mô dưới 3.000 m³/ngày đêm</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color w:val="000000"/>
                <w:sz w:val="20"/>
                <w:szCs w:val="26"/>
              </w:rPr>
            </w:pPr>
            <w:r>
              <w:rPr>
                <w:rFonts w:cs="Arial" w:ascii="Arial" w:hAnsi="Arial"/>
                <w:color w:val="0D0D0D"/>
                <w:sz w:val="20"/>
                <w:szCs w:val="26"/>
              </w:rPr>
              <w:t>- Luật Tài nguyên nước 2023;</w:t>
            </w:r>
          </w:p>
          <w:p>
            <w:pPr>
              <w:pStyle w:val="Normal"/>
              <w:autoSpaceDE w:val="false"/>
              <w:spacing w:before="0" w:after="120"/>
              <w:rPr>
                <w:rFonts w:ascii="Arial" w:hAnsi="Arial" w:cs="Arial"/>
                <w:sz w:val="20"/>
              </w:rPr>
            </w:pPr>
            <w:r>
              <w:rPr>
                <w:rFonts w:cs="Arial" w:ascii="Arial" w:hAnsi="Arial"/>
                <w:color w:val="0D0D0D"/>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5</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1.004122</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Cấp giấy phép hành nghề khoan nước dưới đất quy mô vừa và nhỏ</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color w:val="000000"/>
                <w:sz w:val="20"/>
                <w:szCs w:val="26"/>
              </w:rPr>
            </w:pPr>
            <w:r>
              <w:rPr>
                <w:rFonts w:cs="Arial" w:ascii="Arial" w:hAnsi="Arial"/>
                <w:color w:val="0D0D0D"/>
                <w:sz w:val="20"/>
                <w:szCs w:val="26"/>
              </w:rPr>
              <w:t>- Luật Tài nguyên nước 2023;</w:t>
            </w:r>
          </w:p>
          <w:p>
            <w:pPr>
              <w:pStyle w:val="Normal"/>
              <w:autoSpaceDE w:val="false"/>
              <w:spacing w:before="0" w:after="120"/>
              <w:rPr>
                <w:rFonts w:ascii="Arial" w:hAnsi="Arial" w:cs="Arial"/>
                <w:sz w:val="20"/>
              </w:rPr>
            </w:pPr>
            <w:r>
              <w:rPr>
                <w:rFonts w:cs="Arial" w:ascii="Arial" w:hAnsi="Arial"/>
                <w:color w:val="0D0D0D"/>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Sở Tài nguyên và Môi trường</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6</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2.001738</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Gia hạn, điều chỉnh giấy phép hành nghề khoan nước dưới đất quy mô vừa và nhỏ</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color w:val="000000"/>
                <w:sz w:val="20"/>
                <w:szCs w:val="26"/>
              </w:rPr>
            </w:pPr>
            <w:r>
              <w:rPr>
                <w:rFonts w:cs="Arial" w:ascii="Arial" w:hAnsi="Arial"/>
                <w:color w:val="0D0D0D"/>
                <w:sz w:val="20"/>
                <w:szCs w:val="26"/>
              </w:rPr>
              <w:t>- Luật Tài nguyên nước 2023;</w:t>
            </w:r>
          </w:p>
          <w:p>
            <w:pPr>
              <w:pStyle w:val="Normal"/>
              <w:autoSpaceDE w:val="false"/>
              <w:spacing w:before="0" w:after="120"/>
              <w:rPr>
                <w:rFonts w:ascii="Arial" w:hAnsi="Arial" w:cs="Arial"/>
                <w:color w:val="000000"/>
                <w:sz w:val="20"/>
                <w:szCs w:val="26"/>
              </w:rPr>
            </w:pPr>
            <w:r>
              <w:rPr>
                <w:rFonts w:cs="Arial" w:ascii="Arial" w:hAnsi="Arial"/>
                <w:color w:val="0D0D0D"/>
                <w:sz w:val="20"/>
                <w:szCs w:val="26"/>
              </w:rPr>
              <w:t>- Nghị định số</w:t>
            </w:r>
          </w:p>
          <w:p>
            <w:pPr>
              <w:pStyle w:val="Normal"/>
              <w:autoSpaceDE w:val="false"/>
              <w:spacing w:before="0" w:after="120"/>
              <w:rPr>
                <w:rFonts w:ascii="Arial" w:hAnsi="Arial" w:cs="Arial"/>
                <w:sz w:val="20"/>
              </w:rPr>
            </w:pPr>
            <w:r>
              <w:rPr>
                <w:rFonts w:cs="Arial" w:ascii="Arial" w:hAnsi="Arial"/>
                <w:color w:val="0D0D0D"/>
                <w:sz w:val="20"/>
                <w:szCs w:val="26"/>
              </w:rPr>
              <w:t>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Sở Tài nguyên và Môi trường</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7</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1.004253</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lại giấy phép hành nghề khoan nước dưới đất quy mô vừa và nhỏ</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Sở Tài nguyên và Môi trường</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8</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1.009669</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Tính tiền cấp quyền khai thác tài nguyên nước đối với công trình chưa vận hành</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9</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2.001770</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Tính tiền cấp quyền khai thác tài nguyên nước đối với công trình đã vận hành</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10</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1.004283</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Điều chỉnh tiền cấp quyền khai thác tài nguyên nước</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11</w:t>
            </w:r>
          </w:p>
        </w:tc>
        <w:tc>
          <w:tcPr>
            <w:tcW w:w="122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1.011516</w:t>
            </w:r>
          </w:p>
        </w:tc>
        <w:tc>
          <w:tcPr>
            <w:tcW w:w="318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Đăng ký khai thác, sử dụng nước mặt, nước biển</w:t>
            </w:r>
          </w:p>
        </w:tc>
        <w:tc>
          <w:tcPr>
            <w:tcW w:w="200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szCs w:val="26"/>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9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49"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bl>
    <w:p>
      <w:pPr>
        <w:pStyle w:val="Normal"/>
        <w:autoSpaceDE w:val="false"/>
        <w:spacing w:before="0" w:after="120"/>
        <w:rPr>
          <w:rFonts w:ascii="Arial" w:hAnsi="Arial" w:cs="Arial"/>
          <w:b/>
          <w:bCs/>
          <w:sz w:val="20"/>
          <w:szCs w:val="28"/>
        </w:rPr>
      </w:pPr>
      <w:bookmarkStart w:id="13" w:name="dieu_3_1"/>
      <w:r>
        <w:rPr>
          <w:rFonts w:cs="Arial" w:ascii="Arial" w:hAnsi="Arial"/>
          <w:b/>
          <w:bCs/>
          <w:sz w:val="20"/>
          <w:szCs w:val="28"/>
        </w:rPr>
        <w:t>3. Danh mục thủ tục hành chính thay thế trong lĩnh vực tài nguyên nước thuộc phạm vi chức năng quản lý của Bộ Tài nguyên và Môi trường</w:t>
      </w:r>
      <w:bookmarkEnd w:id="13"/>
    </w:p>
    <w:tbl>
      <w:tblPr>
        <w:tblW w:w="5000" w:type="pct"/>
        <w:jc w:val="left"/>
        <w:tblInd w:w="0" w:type="dxa"/>
        <w:tblLayout w:type="fixed"/>
        <w:tblCellMar>
          <w:top w:w="28" w:type="dxa"/>
          <w:left w:w="108" w:type="dxa"/>
          <w:bottom w:w="28" w:type="dxa"/>
          <w:right w:w="108" w:type="dxa"/>
        </w:tblCellMar>
      </w:tblPr>
      <w:tblGrid>
        <w:gridCol w:w="552"/>
        <w:gridCol w:w="1193"/>
        <w:gridCol w:w="2327"/>
        <w:gridCol w:w="1576"/>
        <w:gridCol w:w="1636"/>
        <w:gridCol w:w="1000"/>
        <w:gridCol w:w="1121"/>
      </w:tblGrid>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TT</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Mã hồ sơ TTHC</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Tên thủ tục hành chính được thay thế</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Tên thủ tục hành chính thay thế</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Tên VBQPPL quy định TTHC thay thế</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Lĩnh vực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Cơ quan thực hiện</w:t>
            </w:r>
          </w:p>
        </w:tc>
      </w:tr>
      <w:tr>
        <w:trPr/>
        <w:tc>
          <w:tcPr>
            <w:tcW w:w="9405" w:type="dxa"/>
            <w:gridSpan w:val="7"/>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6"/>
              </w:rPr>
              <w:t>A. Thủ tục hành chính cấp trung ương</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2.000021</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khai thác, sử dụng nước mặt đối với hồ chứa, đập dâng thủy lợi có dung tích toàn bộ từ 20 triệu m³</w:t>
            </w:r>
            <w:r>
              <w:rPr>
                <w:rFonts w:cs="Arial" w:ascii="Arial" w:hAnsi="Arial"/>
                <w:sz w:val="20"/>
                <w:szCs w:val="17"/>
              </w:rPr>
              <w:t xml:space="preserve"> </w:t>
            </w:r>
            <w:r>
              <w:rPr>
                <w:rFonts w:cs="Arial" w:ascii="Arial" w:hAnsi="Arial"/>
                <w:sz w:val="20"/>
                <w:szCs w:val="26"/>
              </w:rPr>
              <w:t>trở lên; hồ chứa, đập dâng thủy lợi khai thác, sử dụng nước mặt cho sản xuất nông nghiệp, nuôi trồng thủy sản với lưu lượng từ 2 m³/giây trở lên và có dung tích toàn bộ từ 03 triệu m³</w:t>
            </w:r>
            <w:r>
              <w:rPr>
                <w:rFonts w:cs="Arial" w:ascii="Arial" w:hAnsi="Arial"/>
                <w:sz w:val="20"/>
                <w:szCs w:val="17"/>
              </w:rPr>
              <w:t xml:space="preserve"> </w:t>
            </w:r>
            <w:r>
              <w:rPr>
                <w:rFonts w:cs="Arial" w:ascii="Arial" w:hAnsi="Arial"/>
                <w:sz w:val="20"/>
                <w:szCs w:val="26"/>
              </w:rPr>
              <w:t>trở lên; công trình khai thác, sử dụng nước khác cấp cho sản xuất nông nghiệp, nuôi trồng thủy sản với lưu lượng khai thác từ 5 m³/giây trở lên; phát điện với công suất lắp máy từ 2.000 kw trở lên; cho các mục đích khác với lưu lượng từ 50.000 m³/ngày đêm trở lên; cấp giấy phép khai thác, sử dụng nước biển cho mục đích sản xuất bao gồm cả nuôi trồng thủy sản, kinh doanh, dịch vụ trên đất liền với lưu lượng từ 1.000.000 m³/ngày đêm trở lên</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khai thác nước mặt, nước biển (đối với các trường hợp quy định tại khoản 1 Điều 15 Nghị định số 54/2024/NĐ-CP ngày 16 tháng 5 năm 2024)</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2</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2.000018</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hạn/điều chỉnh giấy phép khai thác, sử dụng nước mặt đối với hồ chứa, đập dâng thủy lợi có dung tích toàn bộ từ 20 triệu m³ trở lên; hồ chứa, đập dâng thủy lợi khai thác, sử dụng nước mặt cho sản xuất nông nghiệp, nuôi trồng thủy sản với lưu lượng từ 2 m³/giây trở lên và có dung tích toàn bộ từ 03 triệu m³</w:t>
            </w:r>
            <w:r>
              <w:rPr>
                <w:rFonts w:cs="Arial" w:ascii="Arial" w:hAnsi="Arial"/>
                <w:sz w:val="20"/>
                <w:szCs w:val="17"/>
              </w:rPr>
              <w:t xml:space="preserve"> </w:t>
            </w:r>
            <w:r>
              <w:rPr>
                <w:rFonts w:cs="Arial" w:ascii="Arial" w:hAnsi="Arial"/>
                <w:sz w:val="20"/>
                <w:szCs w:val="26"/>
              </w:rPr>
              <w:t>trở lên; công trình khai thác, sử dụng nước khác cấp cho sản xuất nông nghiệp, nuôi trồng thủy sản với lưu lượng khai thác từ 5 m³/giây trở lên; phát điện với công suất lắp máy từ 2.000 kw trở lên; cho các mục đích khác với lưu lượng từ 50.000 m³/ngày đêm trở lên; cấp giấy phép khai thác, sử dụng nước biển cho mục đích sản xuất bao gồm cả nuôi trồng thủy sản, kinh doanh, dịch vụ trên đất liền với lưu lượng từ 1.000.000 m³/ngày đêm trở lên</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 điều chỉnh giấy phép khai thác nước mặt, nước biển</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3</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1.004938</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 điều chỉnh giấy phép hành nghề khoan nước dưới đất quy mô lớn</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 giấy phép hành nghề khoan nước dưới đất quy mô lớn</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4</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1.011512</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Trả lại giấy phép tài nguyên nước</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Trả lại giấy phép thăm dò nước dưới đất, giấy phép khai thác tài nguyên nước</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5</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1.004094</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lại giấy phép tài nguyên nước</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lại giấy phép thăm dò nước dưới đất, giấy phép khai thác tài nguyên nước</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Bộ TN&amp;MT</w:t>
            </w:r>
          </w:p>
        </w:tc>
      </w:tr>
      <w:tr>
        <w:trPr/>
        <w:tc>
          <w:tcPr>
            <w:tcW w:w="9405" w:type="dxa"/>
            <w:gridSpan w:val="7"/>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6"/>
              </w:rPr>
              <w:t>B. Thủ tục hành chính cấp tỉnh</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1.004179</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khai thác, sử dụng nước mặt cho sản xuất nông nghiệp, nuôi trồng thủy sản đối với hồ chứa, đập dâng thuỷ lợi có lưu lượng khai thác dưới 2 m³/giây và dung tích toàn bộ dưới 20 triệu m³, hoặc lưu lượng khai thác từ 2 m³/giây trở lên và dung tích toàn bộ dưới 3 triệu m³, hoặc đối với công trình khai thác, sử dụng nước khác với lưu lượng khai thác dưới 5 m³/giây; phát điện với công suất lắp máy dưới 2.000 kw; cho các mục đích khác với lưu lượng dưới 50.000m³/ngày đêm; cấp giấy phép khai thác, sử dụng nước biển cho mục đích sản xuất bao gồm cả nuôi trồng thủy sản, kinh doanh, dịch vụ trên đất liền với lưu lượng dưới 1.000.000 m³/ngày đêm</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giấy phép khai thác nước mặt, nước biển (đối với các trường hợp quy định tại khoản 2 Điều 15 Nghị định số 54/2024/NĐ-CP ngày 16 tháng 5 năm 2024)</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2</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1.004167</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hạn/điều chỉnh giấy phép khai thác, sử dụng nước mặt cho sản xuất nông nghiệp, nuôi trồng thủy sản đối với hồ chứa, đập dâng thuỷ lợi có lưu lượng khai thác dưới 2 m³/giây và dung tích toàn bộ dưới 20 triệu m³, hoặc lưu lượng khai thác từ 2 m³/giây trở lên và dung tích toàn bộ dưới 3 triệu m³, hoặc đối với công trình khai thác, sử dụng nước khác với lưu lượng khai thác dưới 5 m³/giây; phát điện với công suất lắp máy dưới 2.000 kw; cho các mục đích khác với lưu lượng dưới 50.000 m³/ngày đêm; cấp giấy phép khai thác, sử dụng nước biển cho mục đích sản xuất bao gồm cả nuôi trồng thủy sản, kinh doanh, dịch vụ trên đất liền với lưu lượng dưới 1.000.000 m³/ngày đêm</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Gia hạn, điều chỉnh giấy phép khai thác nước mặt, nước biển</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3</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1.011518</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Trả lại giấy phép tài nguyên nước</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Trả lại giấy phép thăm dò nước dưới đất, giấy phép khai thác tài nguyên nước</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color w:val="000000"/>
                <w:sz w:val="20"/>
                <w:szCs w:val="26"/>
              </w:rPr>
            </w:pPr>
            <w:r>
              <w:rPr>
                <w:rFonts w:cs="Arial" w:ascii="Arial" w:hAnsi="Arial"/>
                <w:color w:val="0D0D0D"/>
                <w:sz w:val="20"/>
                <w:szCs w:val="26"/>
              </w:rPr>
              <w:t>- Luật Tài nguyên nước 2023;</w:t>
            </w:r>
          </w:p>
          <w:p>
            <w:pPr>
              <w:pStyle w:val="Normal"/>
              <w:autoSpaceDE w:val="false"/>
              <w:spacing w:before="0" w:after="120"/>
              <w:rPr>
                <w:rFonts w:ascii="Arial" w:hAnsi="Arial" w:cs="Arial"/>
                <w:sz w:val="20"/>
              </w:rPr>
            </w:pPr>
            <w:r>
              <w:rPr>
                <w:rFonts w:cs="Arial" w:ascii="Arial" w:hAnsi="Arial"/>
                <w:color w:val="0D0D0D"/>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UBND cấp tỉnh</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4</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1.000824</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lại giấy phép tài nguyên nước</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Cấp lại giấy phép thăm dò nước dưới đất, giấy phép khai thác tài nguyên nước</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color w:val="000000"/>
                <w:sz w:val="20"/>
                <w:szCs w:val="26"/>
              </w:rPr>
            </w:pPr>
            <w:r>
              <w:rPr>
                <w:rFonts w:cs="Arial" w:ascii="Arial" w:hAnsi="Arial"/>
                <w:color w:val="0D0D0D"/>
                <w:sz w:val="20"/>
                <w:szCs w:val="26"/>
              </w:rPr>
              <w:t>- Luật Tài nguyên nước 2023;</w:t>
            </w:r>
          </w:p>
          <w:p>
            <w:pPr>
              <w:pStyle w:val="Normal"/>
              <w:autoSpaceDE w:val="false"/>
              <w:spacing w:before="0" w:after="120"/>
              <w:rPr>
                <w:rFonts w:ascii="Arial" w:hAnsi="Arial" w:cs="Arial"/>
                <w:sz w:val="20"/>
              </w:rPr>
            </w:pPr>
            <w:r>
              <w:rPr>
                <w:rFonts w:cs="Arial" w:ascii="Arial" w:hAnsi="Arial"/>
                <w:color w:val="0D0D0D"/>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UBND cấp tỉnh</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5</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2.001850</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Thẩm định, phê duyệt phương án cắm mốc giới hành lang bảo vệ nguồn nước đối với hồ chứa thủy điện và hồ chứa thủy lợi</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Thẩm định, phê duyệt phương án cắm mốc giới hành lang bảo vệ nguồn nước của hồ chứa thủy điện</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53/2024/NĐ-CP.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6</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1.001740</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Lấy ý kiến Ủy ban nhân dân cấp tỉnh đối với các dự án đầu tư có chuyển nước từ nguồn nước liên tỉnh; dự án đầu tư xây dựng hồ chứa, đập dâng trên dòng chính lưu vực sông liên tỉnh thuộc trường hợp phải xin phép; công trình khai thác, sử dụng nước mặt (không phải là hồ chứa, đập dâng) sử dụng nguồn nước liên tỉnh với lưu lượng khai thác từ 10 m³/giây trở lên</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Lấy ý kiến đại diện cộng đồng dân cư và tổ chức, cá nhân (đối với trường hợp cơ quan tổ chức lấy ý kiến là Ủy ban nhân dân cấp tỉnh)</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tỉnh</w:t>
            </w:r>
          </w:p>
        </w:tc>
      </w:tr>
      <w:tr>
        <w:trPr/>
        <w:tc>
          <w:tcPr>
            <w:tcW w:w="9405" w:type="dxa"/>
            <w:gridSpan w:val="7"/>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6"/>
              </w:rPr>
              <w:t>C. Thủ tục hành chính cấp huyện</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color w:val="0D0D0D"/>
                <w:sz w:val="20"/>
                <w:szCs w:val="26"/>
              </w:rPr>
              <w:t>1</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1.001662</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Đăng ký khai thác nước dưới đất</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color w:val="0D0D0D"/>
                <w:sz w:val="20"/>
                <w:szCs w:val="26"/>
              </w:rPr>
              <w:t>Đăng ký khai thác, sử dụng nước dưới đất</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huyện</w:t>
            </w:r>
          </w:p>
        </w:tc>
      </w:tr>
      <w:tr>
        <w:trPr/>
        <w:tc>
          <w:tcPr>
            <w:tcW w:w="55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2</w:t>
            </w:r>
          </w:p>
        </w:tc>
        <w:tc>
          <w:tcPr>
            <w:tcW w:w="119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1.001645</w:t>
            </w:r>
          </w:p>
        </w:tc>
        <w:tc>
          <w:tcPr>
            <w:tcW w:w="2327"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Lấy ý kiến Ủy ban nhân dân cấp huyện đối với các dự án đầu tư có chuyển nước từ nguồn nước nội tỉnh; dự án đầu tư xây dựng hồ chứa, đập dâng trên sông suối nội tỉnh thuộc trường hợp phải xin phép; công trình khai thác, sử dụng nước mặt (không phải là hồ chứa, đập dâng) sử dụng nguồn nước nội tỉnh với lưu lượng khai thác từ 10 m³/giây trở lên; công trình khai thác, sử dụng nước dưới đất (gồm một hoặc nhiều giếng khoan, giếng đào, hố đào, hành lang, mạch lộ, hang động khai thác nước dưới đất thuộc sở hữu của một tổ chức, cá nhân và có khoảng cách liền kề giữa chúng không lớn hơn 1.000 m) có lưu lượng từ 12.000 m³/ngày đêm trở lên</w:t>
            </w:r>
          </w:p>
        </w:tc>
        <w:tc>
          <w:tcPr>
            <w:tcW w:w="157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Lấy ý kiến đại diện cộng đồng dân cư và tổ chức, cá nhân (đối với trường hợp cơ quan tổ chức lấy ý kiến là Ủy ban nhân dân cấp huyện)</w:t>
            </w:r>
          </w:p>
        </w:tc>
        <w:tc>
          <w:tcPr>
            <w:tcW w:w="1636"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00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12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UBND cấp huyện</w:t>
            </w:r>
          </w:p>
        </w:tc>
      </w:tr>
    </w:tbl>
    <w:p>
      <w:pPr>
        <w:pStyle w:val="Normal"/>
        <w:autoSpaceDE w:val="false"/>
        <w:spacing w:before="0" w:after="120"/>
        <w:rPr>
          <w:rFonts w:ascii="Arial" w:hAnsi="Arial" w:cs="Arial"/>
          <w:b/>
          <w:bCs/>
          <w:sz w:val="20"/>
          <w:szCs w:val="28"/>
        </w:rPr>
      </w:pPr>
      <w:bookmarkStart w:id="14" w:name="dieu_4"/>
      <w:r>
        <w:rPr>
          <w:rFonts w:cs="Arial" w:ascii="Arial" w:hAnsi="Arial"/>
          <w:b/>
          <w:bCs/>
          <w:sz w:val="20"/>
          <w:szCs w:val="28"/>
        </w:rPr>
        <w:t>4. Danh mục thủ tục hành chính bị bãi bỏ trong lĩnh vực tài nguyên nước thuộc phạm vi chức năng quản lý của Bộ Tài nguyên và Môi trường</w:t>
      </w:r>
      <w:bookmarkEnd w:id="14"/>
    </w:p>
    <w:tbl>
      <w:tblPr>
        <w:tblW w:w="5000" w:type="pct"/>
        <w:jc w:val="left"/>
        <w:tblInd w:w="0" w:type="dxa"/>
        <w:tblLayout w:type="fixed"/>
        <w:tblCellMar>
          <w:top w:w="28" w:type="dxa"/>
          <w:left w:w="108" w:type="dxa"/>
          <w:bottom w:w="28" w:type="dxa"/>
          <w:right w:w="108" w:type="dxa"/>
        </w:tblCellMar>
      </w:tblPr>
      <w:tblGrid>
        <w:gridCol w:w="561"/>
        <w:gridCol w:w="1380"/>
        <w:gridCol w:w="2613"/>
        <w:gridCol w:w="2195"/>
        <w:gridCol w:w="1284"/>
        <w:gridCol w:w="1372"/>
      </w:tblGrid>
      <w:tr>
        <w:trPr/>
        <w:tc>
          <w:tcPr>
            <w:tcW w:w="56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6"/>
              </w:rPr>
              <w:t>TT</w:t>
            </w:r>
          </w:p>
        </w:tc>
        <w:tc>
          <w:tcPr>
            <w:tcW w:w="138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Mã hồ sơ TTHC</w:t>
            </w:r>
          </w:p>
        </w:tc>
        <w:tc>
          <w:tcPr>
            <w:tcW w:w="261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Tên thủ tục hành chính</w:t>
            </w:r>
          </w:p>
        </w:tc>
        <w:tc>
          <w:tcPr>
            <w:tcW w:w="219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Tên VBQPPL quy định việc bãi bỏ TTHC</w:t>
            </w:r>
          </w:p>
        </w:tc>
        <w:tc>
          <w:tcPr>
            <w:tcW w:w="128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Lĩnh vực</w:t>
            </w:r>
          </w:p>
        </w:tc>
        <w:tc>
          <w:tcPr>
            <w:tcW w:w="137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b/>
                <w:bCs/>
                <w:sz w:val="20"/>
                <w:szCs w:val="28"/>
              </w:rPr>
              <w:t>Cơ quan thực hiện</w:t>
            </w:r>
          </w:p>
        </w:tc>
      </w:tr>
      <w:tr>
        <w:trPr/>
        <w:tc>
          <w:tcPr>
            <w:tcW w:w="9405" w:type="dxa"/>
            <w:gridSpan w:val="6"/>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b/>
                <w:bCs/>
                <w:sz w:val="20"/>
                <w:szCs w:val="28"/>
              </w:rPr>
              <w:t>A. Thủ tục hành chính cấp tỉnh</w:t>
            </w:r>
          </w:p>
        </w:tc>
      </w:tr>
      <w:tr>
        <w:trPr/>
        <w:tc>
          <w:tcPr>
            <w:tcW w:w="561"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1</w:t>
            </w:r>
          </w:p>
        </w:tc>
        <w:tc>
          <w:tcPr>
            <w:tcW w:w="1380"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1.011517</w:t>
            </w:r>
          </w:p>
        </w:tc>
        <w:tc>
          <w:tcPr>
            <w:tcW w:w="2613"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rFonts w:ascii="Arial" w:hAnsi="Arial" w:cs="Arial"/>
                <w:sz w:val="20"/>
              </w:rPr>
            </w:pPr>
            <w:r>
              <w:rPr>
                <w:rFonts w:cs="Arial" w:ascii="Arial" w:hAnsi="Arial"/>
                <w:sz w:val="20"/>
                <w:szCs w:val="26"/>
              </w:rPr>
              <w:t>Đăng ký khai thác nước dưới đất</w:t>
            </w:r>
          </w:p>
        </w:tc>
        <w:tc>
          <w:tcPr>
            <w:tcW w:w="2195"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rPr/>
            </w:pPr>
            <w:r>
              <w:rPr>
                <w:rFonts w:cs="Arial" w:ascii="Arial" w:hAnsi="Arial"/>
                <w:sz w:val="20"/>
                <w:szCs w:val="26"/>
              </w:rPr>
              <w:t>- Luật Tài nguyên nước 2023;</w:t>
            </w:r>
          </w:p>
          <w:p>
            <w:pPr>
              <w:pStyle w:val="Normal"/>
              <w:autoSpaceDE w:val="false"/>
              <w:spacing w:before="0" w:after="120"/>
              <w:rPr>
                <w:rFonts w:ascii="Arial" w:hAnsi="Arial" w:cs="Arial"/>
                <w:sz w:val="20"/>
              </w:rPr>
            </w:pPr>
            <w:r>
              <w:rPr>
                <w:rFonts w:cs="Arial" w:ascii="Arial" w:hAnsi="Arial"/>
                <w:sz w:val="20"/>
                <w:szCs w:val="26"/>
              </w:rPr>
              <w:t>- Nghị định số 54/2024/NĐ-CP.</w:t>
            </w:r>
          </w:p>
        </w:tc>
        <w:tc>
          <w:tcPr>
            <w:tcW w:w="1284"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Tài nguyên nước</w:t>
            </w:r>
          </w:p>
        </w:tc>
        <w:tc>
          <w:tcPr>
            <w:tcW w:w="1372" w:type="dxa"/>
            <w:tcBorders>
              <w:top w:val="single" w:sz="2" w:space="0" w:color="000000"/>
              <w:left w:val="single" w:sz="2" w:space="0" w:color="000000"/>
              <w:bottom w:val="single" w:sz="2" w:space="0" w:color="000000"/>
              <w:right w:val="single" w:sz="2" w:space="0" w:color="000000"/>
            </w:tcBorders>
          </w:tcPr>
          <w:p>
            <w:pPr>
              <w:pStyle w:val="Normal"/>
              <w:autoSpaceDE w:val="false"/>
              <w:spacing w:before="0" w:after="120"/>
              <w:jc w:val="center"/>
              <w:rPr>
                <w:rFonts w:ascii="Arial" w:hAnsi="Arial" w:cs="Arial"/>
                <w:sz w:val="20"/>
              </w:rPr>
            </w:pPr>
            <w:r>
              <w:rPr>
                <w:rFonts w:cs="Arial" w:ascii="Arial" w:hAnsi="Arial"/>
                <w:sz w:val="20"/>
                <w:szCs w:val="26"/>
              </w:rPr>
              <w:t>Sở Tài nguyên và Môi trường</w:t>
            </w:r>
          </w:p>
        </w:tc>
      </w:tr>
    </w:tbl>
    <w:p>
      <w:pPr>
        <w:pStyle w:val="Normal"/>
        <w:spacing w:before="0" w:after="120"/>
        <w:rPr/>
      </w:pPr>
      <w:r>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15" w:name="chuong_pl_1"/>
            <w:r>
              <w:rPr>
                <w:rFonts w:cs="Arial" w:ascii="Arial" w:hAnsi="Arial"/>
                <w:b/>
                <w:color w:val="FF0000"/>
                <w:sz w:val="20"/>
                <w:szCs w:val="20"/>
                <w:lang w:val="nb-NO"/>
              </w:rPr>
              <w:t>FILE ĐƯỢC ĐÍNH KÈM THEO VĂN BẢN</w:t>
            </w:r>
            <w:bookmarkEnd w:id="15"/>
          </w:p>
          <w:p>
            <w:pPr>
              <w:pStyle w:val="Normal"/>
              <w:spacing w:before="0" w:after="12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25pt;height:49.55pt" filled="f" o:ole="">
                  <v:imagedata r:id="rId3" o:title=""/>
                </v:shape>
                <o:OLEObject Type="Embed" ProgID="" ShapeID="ole_rId2" DrawAspect="Icon" ObjectID="_1818079229" r:id="rId2"/>
              </w:object>
            </w:r>
          </w:p>
        </w:tc>
      </w:tr>
    </w:tbl>
    <w:p>
      <w:pPr>
        <w:pStyle w:val="Normal"/>
        <w:spacing w:before="0" w:after="120"/>
        <w:rPr/>
      </w:pPr>
      <w:r>
        <w:rPr/>
      </w:r>
    </w:p>
    <w:p>
      <w:pPr>
        <w:pStyle w:val="Normal"/>
        <w:spacing w:before="0" w:after="120"/>
        <w:rPr/>
      </w:pPr>
      <w:r>
        <w:rPr/>
      </w:r>
    </w:p>
    <w:sectPr>
      <w:type w:val="nextPage"/>
      <w:pgSz w:w="12240" w:h="15840"/>
      <w:pgMar w:left="1701" w:right="1134" w:gutter="0" w:header="0" w:top="567"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2024-06-12T18:01:00Z</dcterms:created>
  <dc:creator>Huu</dc:creator>
  <dc:description>Document was created by {applicationname}, version: {version}</dc:description>
  <cp:keywords/>
  <dc:language>en-US</dc:language>
  <cp:lastModifiedBy>PC</cp:lastModifiedBy>
  <dcterms:modified xsi:type="dcterms:W3CDTF">2024-06-12T18:01:00Z</dcterms:modified>
  <cp:revision>2</cp:revision>
  <dc:subject/>
  <dc:title>BỘ TÀI NGUYÊN VÀ MÔI TRƯỜNG      CỘNG HÒA XÃ HỘI CHỦ NGHĨA VIỆT NAM Độc lập – Tự do – Hạnh  phúc</dc:title>
</cp:coreProperties>
</file>