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4518"/>
        <w:gridCol w:w="4552"/>
      </w:tblGrid>
      <w:tr>
        <w:trPr/>
        <w:tc>
          <w:tcPr>
            <w:tcW w:w="4518" w:type="dxa"/>
            <w:tcBorders/>
          </w:tcPr>
          <w:p>
            <w:pPr>
              <w:pStyle w:val="Normal"/>
              <w:widowControl w:val="false"/>
              <w:spacing w:before="120" w:after="0"/>
              <w:jc w:val="center"/>
              <w:rPr>
                <w:sz w:val="28"/>
                <w:szCs w:val="28"/>
              </w:rPr>
            </w:pPr>
            <w:r>
              <w:rPr>
                <w:b/>
                <w:bCs/>
                <w:color w:val="000000"/>
                <w:sz w:val="28"/>
                <w:szCs w:val="28"/>
              </w:rPr>
              <w:t>BAN CHẤP HÀNH TRUNG ƯƠNG</w:t>
            </w:r>
            <w:r>
              <w:rPr>
                <w:b/>
                <w:bCs/>
                <w:sz w:val="28"/>
                <w:szCs w:val="28"/>
              </w:rPr>
              <w:br/>
              <w:t>*</w:t>
            </w:r>
          </w:p>
        </w:tc>
        <w:tc>
          <w:tcPr>
            <w:tcW w:w="4552" w:type="dxa"/>
            <w:tcBorders/>
          </w:tcPr>
          <w:p>
            <w:pPr>
              <w:pStyle w:val="Normal"/>
              <w:widowControl w:val="false"/>
              <w:spacing w:before="120" w:after="0"/>
              <w:jc w:val="center"/>
              <w:rPr>
                <w:sz w:val="30"/>
                <w:szCs w:val="30"/>
              </w:rPr>
            </w:pPr>
            <w:r>
              <w:rPr>
                <w:b/>
                <w:bCs/>
                <w:color w:val="000000"/>
                <w:sz w:val="30"/>
                <w:szCs w:val="30"/>
              </w:rPr>
              <w:t>ĐẢNG CỘNG SẢN VIỆT NAM</w:t>
            </w:r>
            <w:r>
              <w:rPr>
                <w:b/>
                <w:bCs/>
                <w:sz w:val="30"/>
                <w:szCs w:val="30"/>
              </w:rPr>
              <w:br/>
              <w:t>---------------</w:t>
            </w:r>
          </w:p>
        </w:tc>
      </w:tr>
      <w:tr>
        <w:trPr/>
        <w:tc>
          <w:tcPr>
            <w:tcW w:w="4518" w:type="dxa"/>
            <w:tcBorders/>
          </w:tcPr>
          <w:p>
            <w:pPr>
              <w:pStyle w:val="Normal"/>
              <w:widowControl w:val="false"/>
              <w:spacing w:before="120" w:after="0"/>
              <w:jc w:val="center"/>
              <w:rPr>
                <w:sz w:val="28"/>
                <w:szCs w:val="28"/>
              </w:rPr>
            </w:pPr>
            <w:r>
              <w:rPr>
                <w:sz w:val="28"/>
                <w:szCs w:val="28"/>
              </w:rPr>
              <w:t xml:space="preserve">Số </w:t>
            </w:r>
            <w:r>
              <w:rPr>
                <w:color w:val="000000"/>
                <w:sz w:val="28"/>
                <w:szCs w:val="28"/>
              </w:rPr>
              <w:t>60-NQ/TW</w:t>
            </w:r>
          </w:p>
        </w:tc>
        <w:tc>
          <w:tcPr>
            <w:tcW w:w="4552" w:type="dxa"/>
            <w:tcBorders/>
          </w:tcPr>
          <w:p>
            <w:pPr>
              <w:pStyle w:val="Normal"/>
              <w:widowControl w:val="false"/>
              <w:spacing w:before="120" w:after="0"/>
              <w:jc w:val="center"/>
              <w:rPr>
                <w:sz w:val="28"/>
                <w:szCs w:val="28"/>
              </w:rPr>
            </w:pPr>
            <w:r>
              <w:rPr>
                <w:i/>
                <w:iCs/>
                <w:sz w:val="28"/>
                <w:szCs w:val="28"/>
              </w:rPr>
              <w:t>Hà Nội, ngày 12 tháng 4 năm 2025</w:t>
            </w:r>
          </w:p>
        </w:tc>
      </w:tr>
    </w:tbl>
    <w:p>
      <w:pPr>
        <w:pStyle w:val="Normal"/>
        <w:widowControl w:val="false"/>
        <w:shd w:fill="FFFFFF" w:val="clear"/>
        <w:spacing w:before="120" w:after="280"/>
        <w:rPr/>
      </w:pPr>
      <w:r>
        <w:rPr/>
        <w:t> </w:t>
      </w:r>
    </w:p>
    <w:p>
      <w:pPr>
        <w:pStyle w:val="Normal"/>
        <w:widowControl w:val="false"/>
        <w:shd w:fill="FFFFFF" w:val="clear"/>
        <w:jc w:val="center"/>
        <w:rPr>
          <w:sz w:val="32"/>
          <w:szCs w:val="32"/>
        </w:rPr>
      </w:pPr>
      <w:bookmarkStart w:id="0" w:name="loai_1"/>
      <w:r>
        <w:rPr>
          <w:b/>
          <w:bCs/>
          <w:color w:val="000000"/>
          <w:sz w:val="32"/>
          <w:szCs w:val="32"/>
        </w:rPr>
        <w:t>NGHỊ QUYẾT</w:t>
      </w:r>
      <w:bookmarkEnd w:id="0"/>
    </w:p>
    <w:p>
      <w:pPr>
        <w:pStyle w:val="Normal"/>
        <w:widowControl w:val="false"/>
        <w:shd w:fill="FFFFFF" w:val="clear"/>
        <w:jc w:val="center"/>
        <w:rPr>
          <w:sz w:val="28"/>
          <w:szCs w:val="28"/>
        </w:rPr>
      </w:pPr>
      <w:bookmarkStart w:id="1" w:name="loai_1_name"/>
      <w:r>
        <w:rPr>
          <w:sz w:val="28"/>
          <w:szCs w:val="28"/>
        </w:rPr>
        <w:t>HỘI NGHỊ LẦN THỨ 11 BAN CHẤP HÀNH TRUNG ƯƠNG ĐẢNG KHÓA XIII</w:t>
      </w:r>
      <w:bookmarkEnd w:id="1"/>
    </w:p>
    <w:p>
      <w:pPr>
        <w:pStyle w:val="Normal"/>
        <w:widowControl w:val="false"/>
        <w:shd w:fill="FFFFFF" w:val="clear"/>
        <w:spacing w:before="120" w:after="280"/>
        <w:ind w:firstLine="720" w:right="0"/>
        <w:jc w:val="both"/>
        <w:rPr>
          <w:sz w:val="28"/>
          <w:szCs w:val="28"/>
        </w:rPr>
      </w:pPr>
      <w:r>
        <w:rPr>
          <w:sz w:val="28"/>
          <w:szCs w:val="28"/>
        </w:rPr>
        <w:t>Hội nghị lần thứ 11 Ban Chấp hành Trung ương Đảng khóa XIII họp từ ngày 10/4 đến ngày 12/4/2025 tại Thủ đô Hà Nội, sau khi xem xét và thảo luận các tờ trình, đề án và báo cáo của Bộ Chính trị, căn cứ kết quả biểu quyết của Ban Chấp hành Trung ương Đảng,</w:t>
      </w:r>
    </w:p>
    <w:p>
      <w:pPr>
        <w:pStyle w:val="Normal"/>
        <w:widowControl w:val="false"/>
        <w:shd w:fill="FFFFFF" w:val="clear"/>
        <w:spacing w:before="120" w:after="280"/>
        <w:jc w:val="center"/>
        <w:rPr>
          <w:sz w:val="28"/>
          <w:szCs w:val="28"/>
        </w:rPr>
      </w:pPr>
      <w:r>
        <w:rPr>
          <w:rFonts w:eastAsia="Arial"/>
          <w:b/>
          <w:bCs/>
          <w:sz w:val="28"/>
          <w:szCs w:val="28"/>
        </w:rPr>
        <w:t>QUYẾT NGHỊ</w:t>
      </w:r>
    </w:p>
    <w:p>
      <w:pPr>
        <w:pStyle w:val="Normal"/>
        <w:widowControl w:val="false"/>
        <w:shd w:fill="FFFFFF" w:val="clear"/>
        <w:spacing w:before="120" w:after="0"/>
        <w:ind w:firstLine="709" w:right="0"/>
        <w:jc w:val="both"/>
        <w:rPr/>
      </w:pPr>
      <w:r>
        <w:rPr>
          <w:rFonts w:eastAsia="Arial"/>
          <w:b/>
          <w:bCs/>
          <w:sz w:val="28"/>
          <w:szCs w:val="28"/>
        </w:rPr>
        <w:t>1. </w:t>
      </w:r>
      <w:r>
        <w:rPr>
          <w:sz w:val="28"/>
          <w:szCs w:val="28"/>
        </w:rPr>
        <w:t>Thông qua nội dung cơ bản các dự thảo văn kiện trình Đại hội XIV sau đây:</w:t>
      </w:r>
    </w:p>
    <w:p>
      <w:pPr>
        <w:pStyle w:val="Normal"/>
        <w:widowControl w:val="false"/>
        <w:shd w:fill="FFFFFF" w:val="clear"/>
        <w:spacing w:before="120" w:after="0"/>
        <w:ind w:firstLine="709" w:right="0"/>
        <w:jc w:val="both"/>
        <w:rPr>
          <w:sz w:val="28"/>
          <w:szCs w:val="28"/>
        </w:rPr>
      </w:pPr>
      <w:r>
        <w:rPr>
          <w:sz w:val="28"/>
          <w:szCs w:val="28"/>
        </w:rPr>
        <w:t>- Báo cáo chính trị của Ban Chấp hành Trung ương Đảng khóa XIII tại Đại hội đại biểu toàn quốc lần thứ XIV của Đảng.</w:t>
      </w:r>
    </w:p>
    <w:p>
      <w:pPr>
        <w:pStyle w:val="Normal"/>
        <w:widowControl w:val="false"/>
        <w:shd w:fill="FFFFFF" w:val="clear"/>
        <w:spacing w:before="120" w:after="0"/>
        <w:ind w:firstLine="709" w:right="0"/>
        <w:jc w:val="both"/>
        <w:rPr>
          <w:sz w:val="28"/>
          <w:szCs w:val="28"/>
        </w:rPr>
      </w:pPr>
      <w:r>
        <w:rPr>
          <w:sz w:val="28"/>
          <w:szCs w:val="28"/>
        </w:rPr>
        <w:t>- Báo cáo tổng kết một số vấn đề lý luận và thực tiễn về công cuộc đổi mới theo định hướng xã hội chủ nghĩa trong 40 năm qua ở Việt Nam.</w:t>
      </w:r>
    </w:p>
    <w:p>
      <w:pPr>
        <w:pStyle w:val="Normal"/>
        <w:widowControl w:val="false"/>
        <w:shd w:fill="FFFFFF" w:val="clear"/>
        <w:spacing w:before="120" w:after="0"/>
        <w:ind w:firstLine="709" w:right="0"/>
        <w:jc w:val="both"/>
        <w:rPr>
          <w:sz w:val="28"/>
          <w:szCs w:val="28"/>
        </w:rPr>
      </w:pPr>
      <w:r>
        <w:rPr>
          <w:sz w:val="28"/>
          <w:szCs w:val="28"/>
        </w:rPr>
        <w:t>- Báo cáo của Ban Chấp hành Trung ương Đảng khóa XIII về tổng kết công tác xây dựng Đảng và thi hành Điều lệ Đảng trình Đại hội đại biểu toàn quốc lần thứ XIV của Đảng.</w:t>
      </w:r>
    </w:p>
    <w:p>
      <w:pPr>
        <w:pStyle w:val="Normal"/>
        <w:widowControl w:val="false"/>
        <w:shd w:fill="FFFFFF" w:val="clear"/>
        <w:spacing w:before="120" w:after="0"/>
        <w:ind w:firstLine="709" w:right="0"/>
        <w:jc w:val="both"/>
        <w:rPr>
          <w:sz w:val="28"/>
          <w:szCs w:val="28"/>
        </w:rPr>
      </w:pPr>
      <w:r>
        <w:rPr>
          <w:sz w:val="28"/>
          <w:szCs w:val="28"/>
        </w:rPr>
        <w:t>- Báo cáo đánh giá 5 năm thực hiện Chiến lược phát triển kinh tế - xã hội 10 năm 2021 - 2030; phương hướng, nhiệm vụ phát triển kinh tế - xã hội 5 năm 2026 - 2030.</w:t>
      </w:r>
    </w:p>
    <w:p>
      <w:pPr>
        <w:pStyle w:val="Normal"/>
        <w:widowControl w:val="false"/>
        <w:shd w:fill="FFFFFF" w:val="clear"/>
        <w:spacing w:before="120" w:after="0"/>
        <w:ind w:firstLine="709" w:right="0"/>
        <w:jc w:val="both"/>
        <w:rPr>
          <w:sz w:val="28"/>
          <w:szCs w:val="28"/>
        </w:rPr>
      </w:pPr>
      <w:r>
        <w:rPr>
          <w:sz w:val="28"/>
          <w:szCs w:val="28"/>
        </w:rPr>
        <w:t>Giao Bộ Chính trị căn cứ ý kiến thảo luận của Trung ương và Báo cáo tiếp thu, giải trình của Bộ Chính trị để chỉ đạo các Tiểu ban Đại hội XIV tiếp thu, hoàn thiện các dự thảo văn kiện trên để lấy ý kiến đại hội đảng bộ các cấp nhiệm kỳ 2025 - 2030 theo quy định.</w:t>
      </w:r>
    </w:p>
    <w:p>
      <w:pPr>
        <w:pStyle w:val="Normal"/>
        <w:widowControl w:val="false"/>
        <w:shd w:fill="FFFFFF" w:val="clear"/>
        <w:spacing w:before="120" w:after="0"/>
        <w:ind w:firstLine="709" w:right="0"/>
        <w:jc w:val="both"/>
        <w:rPr/>
      </w:pPr>
      <w:r>
        <w:rPr>
          <w:rFonts w:eastAsia="Arial"/>
          <w:b/>
          <w:bCs/>
          <w:sz w:val="28"/>
          <w:szCs w:val="28"/>
        </w:rPr>
        <w:t>2.</w:t>
      </w:r>
      <w:r>
        <w:rPr>
          <w:sz w:val="28"/>
          <w:szCs w:val="28"/>
        </w:rPr>
        <w:t> Cơ bản thống nhất dự thảo Phương hướng công tác nhân sự Ban Chấp hành Trung ương Đảng khóa XIV.</w:t>
      </w:r>
    </w:p>
    <w:p>
      <w:pPr>
        <w:pStyle w:val="Normal"/>
        <w:widowControl w:val="false"/>
        <w:shd w:fill="FFFFFF" w:val="clear"/>
        <w:spacing w:before="120" w:after="0"/>
        <w:ind w:firstLine="709" w:right="0"/>
        <w:jc w:val="both"/>
        <w:rPr>
          <w:sz w:val="28"/>
          <w:szCs w:val="28"/>
        </w:rPr>
      </w:pPr>
      <w:r>
        <w:rPr>
          <w:sz w:val="28"/>
          <w:szCs w:val="28"/>
        </w:rPr>
        <w:t>Giao Bộ Chính trị căn cứ ý kiến thảo luận của Trung ương và Báo cáo tiếp thu, giải trình của Bộ Chính trị để chỉ đạo hoàn thiện Phương hướng công tác nhân sự, tiếp tục báo cáo Ban Chấp hành Trung ương Đảng.</w:t>
      </w:r>
    </w:p>
    <w:p>
      <w:pPr>
        <w:pStyle w:val="Normal"/>
        <w:widowControl w:val="false"/>
        <w:shd w:fill="FFFFFF" w:val="clear"/>
        <w:spacing w:before="120" w:after="0"/>
        <w:ind w:firstLine="709" w:right="0"/>
        <w:jc w:val="both"/>
        <w:rPr/>
      </w:pPr>
      <w:r>
        <w:rPr>
          <w:rFonts w:eastAsia="Arial"/>
          <w:b/>
          <w:bCs/>
          <w:sz w:val="28"/>
          <w:szCs w:val="28"/>
        </w:rPr>
        <w:t>3. </w:t>
      </w:r>
      <w:r>
        <w:rPr>
          <w:sz w:val="28"/>
          <w:szCs w:val="28"/>
        </w:rPr>
        <w:t>Cho ý kiến về giới thiệu nhân sự bổ sung quy hoạch Ban Chấp hành Trung ương Đảng khoá XIV để Bộ Chính trị xem xét, quyết định quy hoạch Ban Chấp hành Trung ương Đảng nhiệm kỳ 2026 - 2031 theo thẩm quyền.</w:t>
      </w:r>
    </w:p>
    <w:p>
      <w:pPr>
        <w:pStyle w:val="Normal"/>
        <w:widowControl w:val="false"/>
        <w:shd w:fill="FFFFFF" w:val="clear"/>
        <w:spacing w:before="120" w:after="0"/>
        <w:ind w:firstLine="709" w:right="0"/>
        <w:jc w:val="both"/>
        <w:rPr/>
      </w:pPr>
      <w:r>
        <w:rPr>
          <w:rFonts w:eastAsia="Arial"/>
          <w:b/>
          <w:bCs/>
          <w:sz w:val="28"/>
          <w:szCs w:val="28"/>
        </w:rPr>
        <w:t>4.</w:t>
      </w:r>
      <w:r>
        <w:rPr>
          <w:sz w:val="28"/>
          <w:szCs w:val="28"/>
        </w:rPr>
        <w:t> Cơ bản thống nhất Đề án phương hướng bầu cử đại biểu Quốc hội khóa XVI và đại biểu Hội đồng nhân dân các cấp nhiệm kỳ 2026 - 2031.</w:t>
      </w:r>
    </w:p>
    <w:p>
      <w:pPr>
        <w:pStyle w:val="Normal"/>
        <w:widowControl w:val="false"/>
        <w:shd w:fill="FFFFFF" w:val="clear"/>
        <w:spacing w:before="120" w:after="0"/>
        <w:ind w:firstLine="709" w:right="0"/>
        <w:jc w:val="both"/>
        <w:rPr>
          <w:sz w:val="28"/>
          <w:szCs w:val="28"/>
        </w:rPr>
      </w:pPr>
      <w:r>
        <w:rPr>
          <w:sz w:val="28"/>
          <w:szCs w:val="28"/>
        </w:rPr>
        <w:t>Giao Bộ Chính trị căn cứ ý kiến thảo luận của Trung ương và Báo cáo tiếp thu, giải trình của Bộ Chính trị để ban hành Kết luận về phương hướng bầu cử và Chỉ thị về lãnh đạo cuộc bầu cử đại biểu Quốc hội khóa XVI và đại biểu Hội đồng nhân dân các cấp nhiệm kỳ 2026 - 2031; chỉ đạo Đảng uỷ Quốc hội tổ chức triển khai thực hiện; lãnh đạo, chỉ đạo công tác chuẩn bị và tổ chức thành công cuộc bầu cử đại biểu Quốc hội khóa XVI và đại biểu Hội đồng nhân dân các cấp nhiệm kỳ 2026 - 2031.</w:t>
      </w:r>
    </w:p>
    <w:p>
      <w:pPr>
        <w:pStyle w:val="Normal"/>
        <w:widowControl w:val="false"/>
        <w:shd w:fill="FFFFFF" w:val="clear"/>
        <w:spacing w:before="120" w:after="0"/>
        <w:ind w:firstLine="709" w:right="0"/>
        <w:jc w:val="both"/>
        <w:rPr/>
      </w:pPr>
      <w:r>
        <w:rPr>
          <w:rFonts w:eastAsia="Arial"/>
          <w:b/>
          <w:bCs/>
          <w:sz w:val="28"/>
          <w:szCs w:val="28"/>
        </w:rPr>
        <w:t>5. </w:t>
      </w:r>
      <w:r>
        <w:rPr>
          <w:sz w:val="28"/>
          <w:szCs w:val="28"/>
        </w:rPr>
        <w:t xml:space="preserve">Cơ bản thống nhất với các nội dung đề xuất của Bộ Chính trị và Đề án về phương án sáp nhập đơn vị hành chính cấp tỉnh, không tổ chức cấp huyện, sáp nhập cấp xã và xây dựng mô hình tổ chức chính quyền địa phương 2 cấp; sắp xếp các tổ chức chính trị - xã hội, các hội quần chúng được Đảng và Nhà nước giao nhiệm vụ vào Mặt trận Tổ quốc Việt Nam; sắp xếp, tinh gọn tổ chức bộ máy Tòa án nhân dân, Viện kiểm sát nhân dân; xây dựng hệ thống tổ chức đảng ở địa phương; chủ trương sửa đổi, bổ sung một số điều của </w:t>
      </w:r>
      <w:bookmarkStart w:id="2" w:name="tvpllink_dyfzerabed"/>
      <w:r>
        <w:rPr>
          <w:sz w:val="28"/>
          <w:szCs w:val="28"/>
        </w:rPr>
        <w:t>Hiến pháp năm 2013</w:t>
      </w:r>
      <w:bookmarkEnd w:id="2"/>
      <w:r>
        <w:rPr>
          <w:sz w:val="28"/>
          <w:szCs w:val="28"/>
        </w:rPr>
        <w:t>.</w:t>
      </w:r>
    </w:p>
    <w:p>
      <w:pPr>
        <w:pStyle w:val="Normal"/>
        <w:widowControl w:val="false"/>
        <w:shd w:fill="FFFFFF" w:val="clear"/>
        <w:spacing w:before="120" w:after="0"/>
        <w:ind w:firstLine="709" w:right="0"/>
        <w:jc w:val="both"/>
        <w:rPr>
          <w:sz w:val="28"/>
          <w:szCs w:val="28"/>
        </w:rPr>
      </w:pPr>
      <w:r>
        <w:rPr>
          <w:sz w:val="28"/>
          <w:szCs w:val="28"/>
        </w:rPr>
        <w:t>Thông qua một số nội dung cụ thể tiếp tục thực hiện các nhiệm vụ, giải pháp để hoàn thiện và nâng cao hiệu năng, hiệu lực, hiệu quả hoạt động tổ chức bộ máy của hệ thống chính trị như sau:</w:t>
      </w:r>
    </w:p>
    <w:p>
      <w:pPr>
        <w:pStyle w:val="Normal"/>
        <w:widowControl w:val="false"/>
        <w:shd w:fill="FFFFFF" w:val="clear"/>
        <w:spacing w:before="120" w:after="0"/>
        <w:ind w:firstLine="709" w:right="0"/>
        <w:jc w:val="both"/>
        <w:rPr/>
      </w:pPr>
      <w:r>
        <w:rPr>
          <w:sz w:val="28"/>
          <w:szCs w:val="28"/>
        </w:rPr>
        <w:t xml:space="preserve">- Về tổ chức bộ máy chính quyền địa phương 2 cấp: (1) Đồng ý chủ trương tổ chức chính quyền địa phương 2 cấp: Cấp tỉnh (tỉnh, thành phố trực thuộc Trung ương), cấp xã (xã, phường, đặc khu trực thuộc tỉnh, thành phố); kết thúc hoạt động của đơn vị hành chính cấp huyện từ ngày 01/7/2025 sau khi Nghị quyết sửa đổi, bổ sung một số điều của </w:t>
      </w:r>
      <w:bookmarkStart w:id="3" w:name="tvpllink_dyfzerabed_1"/>
      <w:r>
        <w:rPr>
          <w:sz w:val="28"/>
          <w:szCs w:val="28"/>
        </w:rPr>
        <w:t>Hiến pháp năm 2013</w:t>
      </w:r>
      <w:bookmarkEnd w:id="3"/>
      <w:r>
        <w:rPr>
          <w:sz w:val="28"/>
          <w:szCs w:val="28"/>
        </w:rPr>
        <w:t xml:space="preserve"> và </w:t>
      </w:r>
      <w:bookmarkStart w:id="4" w:name="tvpllink_aarfhuvvql"/>
      <w:r>
        <w:rPr>
          <w:sz w:val="28"/>
          <w:szCs w:val="28"/>
        </w:rPr>
        <w:t>Luật Tổ chức chính quyền địa phương năm 2025</w:t>
      </w:r>
      <w:bookmarkEnd w:id="4"/>
      <w:r>
        <w:rPr>
          <w:sz w:val="28"/>
          <w:szCs w:val="28"/>
        </w:rPr>
        <w:t xml:space="preserve"> (sửa đổi) có hiệu lực thi hành. (2) Đồng ý số lượng đơn vị hành chính cấp tỉnh sau sáp nhập là 34 tỉnh, thành phố (28 tỉnh và 6 thành phố trực thuộc Trung ương); tên gọi và trung tâm chính trị - hành chính của đơn vị hành chính cấp tỉnh sau sắp xếp được xác định theo các nguyên tắc nêu tại Tờ trình và Đề án của Đảng uỷ Chính phủ </w:t>
      </w:r>
      <w:r>
        <w:rPr>
          <w:i/>
          <w:iCs/>
          <w:sz w:val="28"/>
          <w:szCs w:val="28"/>
        </w:rPr>
        <w:t>(Danh sách chi tiết kèm theo)</w:t>
      </w:r>
      <w:r>
        <w:rPr>
          <w:sz w:val="28"/>
          <w:szCs w:val="28"/>
        </w:rPr>
        <w:t>. (3) Đồng ý sáp nhập đơn vị hành chính cấp xã bảo đảm cả nước giảm khoảng 60 - 70% số lượng đơn vị hành chính cấp xã so với hiện nay.</w:t>
      </w:r>
    </w:p>
    <w:p>
      <w:pPr>
        <w:pStyle w:val="Normal"/>
        <w:widowControl w:val="false"/>
        <w:shd w:fill="FFFFFF" w:val="clear"/>
        <w:spacing w:before="120" w:after="0"/>
        <w:ind w:firstLine="709" w:right="0"/>
        <w:jc w:val="both"/>
        <w:rPr>
          <w:sz w:val="28"/>
          <w:szCs w:val="28"/>
        </w:rPr>
      </w:pPr>
      <w:r>
        <w:rPr>
          <w:sz w:val="28"/>
          <w:szCs w:val="28"/>
        </w:rPr>
        <w:t>- Về tổ chức Mặt trận Tổ quốc Việt Nam và các tổ chức chính trị - xã hội, hội quần chúng do Đảng, Nhà nước giao nhiệm vụ: (1) Đồng ý chủ trương sắp xếp, tinh gọn hợp nhất cơ quan Mặt trận Tổ quốc Việt Nam, các tổ chức chính trị - xã hội, các hội quần chúng do Đảng, Nhà nước giao nhiệm vụ ở cấp Trung ương, cấp tỉnh và cấp xã như Tờ trình và Đề án của Đảng uỷ Mặt trận Tổ quốc, các đoàn thể Trung ương; việc sắp xếp, tinh gọn tổ chức bộ máy phải bảo đảm sâu sát cơ sở, địa bàn, chăm lo quyền, lợi ích hợp pháp, chính đáng của Nhân dân và đoàn viên, hội viên của tổ chức mình. (2) Thống nhất chủ trương kết thúc hoạt động của công đoàn viên chức, công đoàn lực lượng vũ trang; giảm mức đóng góp công đoàn phí của đoàn viên công đoàn.</w:t>
      </w:r>
    </w:p>
    <w:p>
      <w:pPr>
        <w:pStyle w:val="Normal"/>
        <w:widowControl w:val="false"/>
        <w:spacing w:before="120" w:after="0"/>
        <w:ind w:firstLine="709" w:right="0"/>
        <w:jc w:val="both"/>
        <w:rPr>
          <w:sz w:val="28"/>
          <w:szCs w:val="28"/>
        </w:rPr>
      </w:pPr>
      <w:r>
        <w:rPr>
          <w:sz w:val="28"/>
          <w:szCs w:val="28"/>
        </w:rPr>
        <w:t>- Về hệ thống tổ chức Toà án nhân dân, Viện kiểm sát nhân dân các cấp: Đồng ý chủ trương sắp xếp, tinh gọn bộ máy Toà án nhân dân, Viện Kiểm sát nhân dân; hệ thống tổ chức Toà án nhân dân, Viện Kiểm sát nhân dân có 3 cấp: Toà án nhân dân và Viện Kiểm sát nhân dân tối cao, cấp tỉnh, cấp khu vực. Kết thúc hoạt động của Toà án nhân dân, Viện Kiểm sát nhân dân cấp cao và Toà án nhân dân, Viện Kiểm sát nhân dân cấp huyện.</w:t>
      </w:r>
    </w:p>
    <w:p>
      <w:pPr>
        <w:pStyle w:val="Normal"/>
        <w:widowControl w:val="false"/>
        <w:spacing w:before="120" w:after="0"/>
        <w:ind w:firstLine="709" w:right="0"/>
        <w:jc w:val="both"/>
        <w:rPr>
          <w:sz w:val="28"/>
          <w:szCs w:val="28"/>
        </w:rPr>
      </w:pPr>
      <w:r>
        <w:rPr>
          <w:sz w:val="28"/>
          <w:szCs w:val="28"/>
        </w:rPr>
        <w:t>- Về hệ thống tổ chức đảng ở địa phương: Đồng ý chủ trương lập tổ chức đảng ở địa phương tương ứng với hệ thống hành chính cấp tỉnh, cấp xã. Kết thúc hoạt động của đảng bộ cấp huyện (huyện, thị xã, thành phố, quận trực thuộc tỉnh, thành phố trực thuộc Trung ương). Lập tổ chức đảng tương ứng với đơn vị hành chính cấp tỉnh, cấp xã theo đúng Điều lệ Đảng, quy định của Trung ương.</w:t>
      </w:r>
    </w:p>
    <w:p>
      <w:pPr>
        <w:pStyle w:val="Normal"/>
        <w:widowControl w:val="false"/>
        <w:shd w:fill="FFFFFF" w:val="clear"/>
        <w:spacing w:before="120" w:after="0"/>
        <w:ind w:firstLine="709" w:right="0"/>
        <w:jc w:val="both"/>
        <w:rPr>
          <w:sz w:val="28"/>
          <w:szCs w:val="28"/>
        </w:rPr>
      </w:pPr>
      <w:r>
        <w:rPr>
          <w:sz w:val="28"/>
          <w:szCs w:val="28"/>
        </w:rPr>
        <w:t>Giao Bộ Chính trị căn cứ ý kiến thảo luận của Trung ương và Báo cáo tiếp thu, giải trình của Bộ Chính trị để chỉ đạo, hoàn thiện, ban hành các quy định, hướng dẫn có liên quan bảo đảm hệ thống tổ chức đảng ở địa phương hoạt động ổn định, không gián đoạn.</w:t>
      </w:r>
    </w:p>
    <w:p>
      <w:pPr>
        <w:pStyle w:val="Normal"/>
        <w:widowControl w:val="false"/>
        <w:shd w:fill="FFFFFF" w:val="clear"/>
        <w:spacing w:before="120" w:after="0"/>
        <w:ind w:firstLine="709" w:right="0"/>
        <w:jc w:val="both"/>
        <w:rPr>
          <w:sz w:val="28"/>
          <w:szCs w:val="28"/>
        </w:rPr>
      </w:pPr>
      <w:r>
        <w:rPr>
          <w:sz w:val="28"/>
          <w:szCs w:val="28"/>
        </w:rPr>
        <w:t>Giao Bộ Chính trị chỉ đạo Đảng uỷ Chính phủ: Chỉ đạo hoàn thiện Đề án sắp xếp, tổ chức lại đơn vị hành chính các cấp (trong đó, nghiên cứu, rà soát hoàn thiện tiêu chí về sắp xếp các xã, phường, đặc khu) và xây dựng mô hình tổ chức chính quyền địa phương 2 cấp; chỉ đạo cơ quan chức năng phối hợp các tỉnh, thành phố trực thuộc Trung ương liên quan hoàn thiện hồ sơ Đề án sắp xếp, sáp nhập, hợp nhất đơn vị hành chính cấp tỉnh, cấp xã, hội đồng nhân dân, ủy ban nhân dân các cấp trình Quốc hội, Ủy ban Thường vụ Quốc hội xem xét, quyết định theo thẩm quyền; khẩn trương lãnh đạo, chỉ đạo các cơ quan chức năng ở Trung ương phối hợp chặt chẽ với các địa phương tham mưu hoàn thiện các văn bản quy phạm pháp luật để kịp thời tổ chức thực hiện sắp xếp đơn vị hành chính các cấp và tổ chức hoạt động chính quyền địa phương 2 cấp gắn với đẩy mạnh phân cấp, phân quyền cho địa phương, bảo đảm đủ điều kiện, nguồn lực để thực hiện, nâng cao vai trò tự chủ, tự chịu trách nhiệm của chính quyền địa phương; rà soát chế độ, chính sách, lộ trình tinh giản biên chế, tính toán chi phí, cân đối ngân sách; bảo đảm thống nhất, đồng bộ, gắn kết chặt chẽ với việc thực hiện có hiệu quả chủ trương, Nghị quyết của Ban Chấp hành Trung ương Đảng, Bộ Chính trị, Ban Bí thư khóa XIII về sắp xếp, tinh gọn tổ chức bộ máy của hệ thống chính trị.</w:t>
      </w:r>
    </w:p>
    <w:p>
      <w:pPr>
        <w:pStyle w:val="Normal"/>
        <w:widowControl w:val="false"/>
        <w:shd w:fill="FFFFFF" w:val="clear"/>
        <w:spacing w:before="120" w:after="0"/>
        <w:ind w:firstLine="709" w:right="0"/>
        <w:jc w:val="both"/>
        <w:rPr>
          <w:sz w:val="28"/>
          <w:szCs w:val="28"/>
        </w:rPr>
      </w:pPr>
      <w:r>
        <w:rPr>
          <w:sz w:val="28"/>
          <w:szCs w:val="28"/>
        </w:rPr>
        <w:t>Giao ban thường vụ các tỉnh uỷ, thành uỷ, đảng ủy trực thuộc Trung ương tập trung lãnh đạo, chỉ đạo và khẩn trương xây dựng Đề án theo hướng dẫn của cấp có thẩm quyền thực hiện sắp xếp đơn vị hành chính cấp tỉnh, không tổ chức cấp huyện, sắp xếp cấp xã. Trong đó, căn cứ tiêu chí và thực tế địa phương chủ động nghiên cứu, xây dựng phương án, báo cáo cấp có thẩm quyền quyết định thực hiện sắp xếp, tên gọi, địa điểm đặt trụ sở xã, bảo đảm chính quyền cấp xã tinh gọn, hiệu lực, hiệu quả, gần dân, sát dân, phục vụ kịp thời lợi ích thiết thực của Nhân dân, tiết giảm chi phí; đồng thời, triển khai tổ chức hoạt động chính quyền địa phương 2 cấp theo quy định pháp luật bảo đảm đúng lộ trình, tiến độ đề ra, đạt mục tiêu tinh gọn, hiệu năng, hiệu lực, hiệu quả gắn với tổ chức thành công đại hội đảng bộ các cấp tiến tới Đại hội đại biểu toàn quốc lần thứ XIV của Đảng; tăng cường phòng, chống tham nhũng, lãng phí, tiêu cực trong sắp xếp cán bộ, quản lý, sử dụng tài chính, tài sản công; giải quyết thủ tục hành chính cho người dân, doanh nghiệp bảo đảm không ngắt quãng và không gián đoạn.</w:t>
      </w:r>
    </w:p>
    <w:p>
      <w:pPr>
        <w:pStyle w:val="Normal"/>
        <w:widowControl w:val="false"/>
        <w:shd w:fill="FFFFFF" w:val="clear"/>
        <w:spacing w:before="120" w:after="0"/>
        <w:ind w:firstLine="709" w:right="0"/>
        <w:jc w:val="both"/>
        <w:rPr/>
      </w:pPr>
      <w:r>
        <w:rPr>
          <w:rFonts w:eastAsia="Arial"/>
          <w:b/>
          <w:bCs/>
          <w:sz w:val="28"/>
          <w:szCs w:val="28"/>
        </w:rPr>
        <w:t>6. </w:t>
      </w:r>
      <w:r>
        <w:rPr>
          <w:sz w:val="28"/>
          <w:szCs w:val="28"/>
        </w:rPr>
        <w:t xml:space="preserve">Cơ bản thống nhất nội dung sửa đổi, bổ sung Quy định số </w:t>
      </w:r>
      <w:bookmarkStart w:id="5" w:name="tvpllink_bduiohpykl"/>
      <w:r>
        <w:rPr>
          <w:sz w:val="28"/>
          <w:szCs w:val="28"/>
        </w:rPr>
        <w:t>232-QĐ/TW</w:t>
      </w:r>
      <w:bookmarkEnd w:id="5"/>
      <w:r>
        <w:rPr>
          <w:sz w:val="28"/>
          <w:szCs w:val="28"/>
        </w:rPr>
        <w:t xml:space="preserve">, ngày 20/01/2025 của Ban Chấp hành Trung ương Đảng về thi hành Điều lệ Đảng; Quy định số </w:t>
      </w:r>
      <w:bookmarkStart w:id="6" w:name="tvpllink_isjgupnuro"/>
      <w:r>
        <w:rPr>
          <w:sz w:val="28"/>
          <w:szCs w:val="28"/>
        </w:rPr>
        <w:t>22-QĐ/TW</w:t>
      </w:r>
      <w:bookmarkEnd w:id="6"/>
      <w:r>
        <w:rPr>
          <w:sz w:val="28"/>
          <w:szCs w:val="28"/>
        </w:rPr>
        <w:t xml:space="preserve">, ngày 28/7/2021 và Quy định số </w:t>
      </w:r>
      <w:bookmarkStart w:id="7" w:name="tvpllink_rlurbgvyve"/>
      <w:r>
        <w:rPr>
          <w:sz w:val="28"/>
          <w:szCs w:val="28"/>
        </w:rPr>
        <w:t>262-QĐ/TW</w:t>
      </w:r>
      <w:bookmarkEnd w:id="7"/>
      <w:r>
        <w:rPr>
          <w:sz w:val="28"/>
          <w:szCs w:val="28"/>
        </w:rPr>
        <w:t>, ngày 03/02/2025 của Ban Chấp hành Trung ương Đảng về công tác kiểm tra, giám sát và kỷ luật của Đảng.</w:t>
      </w:r>
    </w:p>
    <w:p>
      <w:pPr>
        <w:pStyle w:val="Normal"/>
        <w:widowControl w:val="false"/>
        <w:shd w:fill="FFFFFF" w:val="clear"/>
        <w:spacing w:before="120" w:after="0"/>
        <w:ind w:firstLine="709" w:right="0"/>
        <w:jc w:val="both"/>
        <w:rPr/>
      </w:pPr>
      <w:r>
        <w:rPr>
          <w:sz w:val="28"/>
          <w:szCs w:val="28"/>
        </w:rPr>
        <w:t>Giao Bộ Chính trị căn cứ ý kiến thảo luận của Trung ương để chỉ đạo tiếp thu, hoàn thiện và ban hành theo thẩm quyền.</w:t>
      </w:r>
    </w:p>
    <w:p>
      <w:pPr>
        <w:pStyle w:val="Normal"/>
        <w:widowControl w:val="false"/>
        <w:shd w:fill="FFFFFF" w:val="clear"/>
        <w:spacing w:before="120" w:after="0"/>
        <w:ind w:firstLine="709" w:right="0"/>
        <w:jc w:val="both"/>
        <w:rPr/>
      </w:pPr>
      <w:r>
        <w:rPr>
          <w:rFonts w:eastAsia="Arial"/>
          <w:b/>
          <w:bCs/>
          <w:sz w:val="28"/>
          <w:szCs w:val="28"/>
        </w:rPr>
        <w:t>7. </w:t>
      </w:r>
      <w:r>
        <w:rPr>
          <w:sz w:val="28"/>
          <w:szCs w:val="28"/>
        </w:rPr>
        <w:t>Cơ bản thống nhất nội dung sửa đổi, bổ sung Chỉ thị số 35-CT/TW, ngày 14/6/2024 và Kết luận số 118-KL/TW, ngày 18/01/2025 của Bộ Chính trị về đại hội đảng bộ các cấp tiến tới Đại hội đại biểu toàn quốc lần thứ XIV của Đảng.</w:t>
      </w:r>
    </w:p>
    <w:p>
      <w:pPr>
        <w:pStyle w:val="Normal"/>
        <w:widowControl w:val="false"/>
        <w:shd w:fill="FFFFFF" w:val="clear"/>
        <w:spacing w:before="120" w:after="0"/>
        <w:ind w:firstLine="709" w:right="0"/>
        <w:jc w:val="both"/>
        <w:rPr>
          <w:sz w:val="28"/>
          <w:szCs w:val="28"/>
        </w:rPr>
      </w:pPr>
      <w:r>
        <w:rPr>
          <w:sz w:val="28"/>
          <w:szCs w:val="28"/>
        </w:rPr>
        <w:t>Giao Bộ Chính trị căn cứ ý kiến thảo luận của Trung ương và Báo cáo tiếp thu, giải trình của Bộ Chính trị để chỉ đạo tiếp thu, hoàn thiện và ban hành theo thẩm quyền.</w:t>
      </w:r>
    </w:p>
    <w:p>
      <w:pPr>
        <w:pStyle w:val="Normal"/>
        <w:widowControl w:val="false"/>
        <w:shd w:fill="FFFFFF" w:val="clear"/>
        <w:spacing w:before="120" w:after="0"/>
        <w:ind w:firstLine="709" w:right="0"/>
        <w:jc w:val="both"/>
        <w:rPr/>
      </w:pPr>
      <w:r>
        <w:rPr>
          <w:rFonts w:eastAsia="Arial"/>
          <w:b/>
          <w:bCs/>
          <w:sz w:val="28"/>
          <w:szCs w:val="28"/>
        </w:rPr>
        <w:t>8. </w:t>
      </w:r>
      <w:r>
        <w:rPr>
          <w:sz w:val="28"/>
          <w:szCs w:val="28"/>
        </w:rPr>
        <w:t xml:space="preserve">Thống nhất chủ trương sửa đổi, bổ sung </w:t>
      </w:r>
      <w:bookmarkStart w:id="8" w:name="tvpllink_dyfzerabed_2"/>
      <w:r>
        <w:rPr>
          <w:sz w:val="28"/>
          <w:szCs w:val="28"/>
        </w:rPr>
        <w:t>Hiến pháp</w:t>
      </w:r>
      <w:bookmarkEnd w:id="8"/>
      <w:r>
        <w:rPr>
          <w:sz w:val="28"/>
          <w:szCs w:val="28"/>
        </w:rPr>
        <w:t>, pháp luật của Nhà nước liên quan đến các quy định về Mặt trận Tổ quốc Việt Nam, các tổ chức chính trị - xã hội; các quy định về chính quyền địa phương phục vụ việc sắp xếp tổ chức bộ máy của hệ thống chính trị; bảo đảm hoàn thành trước ngày 30/6/2025, có hiệu lực từ ngày 01/7/2025; quy định thời gian chuyển tiếp để bảo đảm hoạt động thông suốt, không gián đoạn, phù hợp với lộ trình dự kiến sắp xếp, sáp nhập.</w:t>
      </w:r>
    </w:p>
    <w:p>
      <w:pPr>
        <w:pStyle w:val="Normal"/>
        <w:widowControl w:val="false"/>
        <w:shd w:fill="FFFFFF" w:val="clear"/>
        <w:spacing w:before="120" w:after="0"/>
        <w:ind w:firstLine="709" w:right="0"/>
        <w:jc w:val="both"/>
        <w:rPr>
          <w:sz w:val="28"/>
          <w:szCs w:val="28"/>
        </w:rPr>
      </w:pPr>
      <w:r>
        <w:rPr>
          <w:sz w:val="28"/>
          <w:szCs w:val="28"/>
        </w:rPr>
        <w:t xml:space="preserve">Giao Bộ Chính trị chỉ đạo Đảng ủy Quốc hội lãnh đạo, chỉ đạo Quốc hội, Ủy ban Thường vụ Quốc hội phối hợp với các cơ quan liên quan triển khai việc sửa đổi, bổ sung một số điều của </w:t>
      </w:r>
      <w:bookmarkStart w:id="9" w:name="tvpllink_dyfzerabed_3"/>
      <w:r>
        <w:rPr>
          <w:sz w:val="28"/>
          <w:szCs w:val="28"/>
        </w:rPr>
        <w:t>Hiến pháp năm 2013</w:t>
      </w:r>
      <w:bookmarkEnd w:id="9"/>
      <w:r>
        <w:rPr>
          <w:sz w:val="28"/>
          <w:szCs w:val="28"/>
        </w:rPr>
        <w:t xml:space="preserve"> theo đúng quy định; ban hành các Nghị quyết của Quốc hội, Ủy ban Thường vụ Quốc hội liên quan đến việc sắp xếp đơn vị hành chính các cấp và tổ chức chính quyền địa phương 2 cấp theo đúng tiến độ, tạo cơ sở pháp lý thuận lợi trong quá trình sắp xếp tổ chức bộ máy của hệ thống chính trị và tháo gỡ khó khăn, vướng mắc, khai thông điểm nghẽn, giải phóng sức sản xuất, huy động mọi nguồn lực cho phát triển; Đảng uỷ Chính phủ chỉ đạo, hướng dẫn cụ thể về giấy tờ, thủ tục hành chính, sử dụng con dấu... tránh xáo trộn, lãng phí.</w:t>
      </w:r>
    </w:p>
    <w:p>
      <w:pPr>
        <w:pStyle w:val="Normal"/>
        <w:widowControl w:val="false"/>
        <w:shd w:fill="FFFFFF" w:val="clear"/>
        <w:spacing w:before="120" w:after="0"/>
        <w:ind w:firstLine="709" w:right="0"/>
        <w:jc w:val="both"/>
        <w:rPr/>
      </w:pPr>
      <w:r>
        <w:rPr>
          <w:rFonts w:eastAsia="Arial"/>
          <w:b/>
          <w:bCs/>
          <w:sz w:val="28"/>
          <w:szCs w:val="28"/>
        </w:rPr>
        <w:t>9. </w:t>
      </w:r>
      <w:r>
        <w:rPr>
          <w:sz w:val="28"/>
          <w:szCs w:val="28"/>
        </w:rPr>
        <w:t>Thông qua Báo cáo của Bộ Chính trị về những công việc quan trọng Bộ Chính trị đã giải quyết từ sau Hội nghị lần thứ 10 đến Hội nghị lần thứ 11 Ban Chấp hành Trung ương Đảng khóa XIII và một số nhiệm vụ trọng tâm từ Hội nghị lần thứ 11 đến Hội nghị lần thứ 12 Ban Chấp hành Trung ương Đảng khóa XIII; Báo cáo công tác hoàn thiện thể chế; Báo cáo công tác chuẩn bị Đại hội XIV của Đảng; các Báo cáo khái quát về tình hình đất nước, về những thách thức đe doạ an ninh, trật tự nổi lên thời gian gần đây, về tình hình thế giới, khu vực và phương hướng, nhiệm vụ trong thời gian tới; tình hình và giải pháp liên quan đến ứng phó chính sách thuế quan mới của Hoa Kỳ.</w:t>
      </w:r>
    </w:p>
    <w:p>
      <w:pPr>
        <w:pStyle w:val="Normal"/>
        <w:widowControl w:val="false"/>
        <w:shd w:fill="FFFFFF" w:val="clear"/>
        <w:spacing w:before="120" w:after="0"/>
        <w:ind w:firstLine="709" w:right="0"/>
        <w:jc w:val="both"/>
        <w:rPr/>
      </w:pPr>
      <w:r>
        <w:rPr>
          <w:rFonts w:eastAsia="Arial"/>
          <w:b/>
          <w:bCs/>
          <w:sz w:val="28"/>
          <w:szCs w:val="28"/>
        </w:rPr>
        <w:t>10.</w:t>
      </w:r>
      <w:r>
        <w:rPr>
          <w:sz w:val="28"/>
          <w:szCs w:val="28"/>
        </w:rPr>
        <w:t> Nghe Báo cáo chuyên đề về đột phá phát triển khoa học, công nghệ, đổi mới sáng tạo và chuyển đổi số quốc gia.</w:t>
      </w:r>
    </w:p>
    <w:p>
      <w:pPr>
        <w:pStyle w:val="Normal"/>
        <w:widowControl w:val="false"/>
        <w:shd w:fill="FFFFFF" w:val="clear"/>
        <w:spacing w:before="120" w:after="0"/>
        <w:ind w:firstLine="709" w:right="0"/>
        <w:jc w:val="both"/>
        <w:rPr/>
      </w:pPr>
      <w:r>
        <w:rPr>
          <w:rFonts w:eastAsia="Arial"/>
          <w:b/>
          <w:bCs/>
          <w:sz w:val="28"/>
          <w:szCs w:val="28"/>
        </w:rPr>
        <w:t>11.</w:t>
      </w:r>
      <w:r>
        <w:rPr>
          <w:sz w:val="28"/>
          <w:szCs w:val="28"/>
        </w:rPr>
        <w:t> Đồng ý để đồng chí Nguyễn Văn Hiếu thôi giữ chức Ủy viên dự khuyết Ban Chấp hành Trung ương Đảng khóa XIII.</w:t>
      </w:r>
    </w:p>
    <w:p>
      <w:pPr>
        <w:pStyle w:val="Normal"/>
        <w:widowControl w:val="false"/>
        <w:shd w:fill="FFFFFF" w:val="clear"/>
        <w:spacing w:before="120" w:after="0"/>
        <w:ind w:firstLine="709" w:right="0"/>
        <w:jc w:val="both"/>
        <w:rPr/>
      </w:pPr>
      <w:r>
        <w:rPr>
          <w:rFonts w:eastAsia="Arial"/>
          <w:b/>
          <w:bCs/>
          <w:sz w:val="28"/>
          <w:szCs w:val="28"/>
        </w:rPr>
        <w:t>12. </w:t>
      </w:r>
      <w:r>
        <w:rPr>
          <w:sz w:val="28"/>
          <w:szCs w:val="28"/>
        </w:rPr>
        <w:t>Thi hành kỷ luật bằng hình thức Cách chức tất cả các chức vụ trong Đảng đối với đồng chí Trương Hòa Bình, nguyên Ủy viên Bộ Chính trị, nguyên Phó Bí thư Ban cán sự đảng Chính phủ, nguyên Phó Thủ tướng Thường trực Chính phủ.</w:t>
      </w:r>
    </w:p>
    <w:p>
      <w:pPr>
        <w:pStyle w:val="Normal"/>
        <w:widowControl w:val="false"/>
        <w:shd w:fill="FFFFFF" w:val="clear"/>
        <w:spacing w:before="120" w:after="0"/>
        <w:ind w:firstLine="709" w:right="0"/>
        <w:jc w:val="both"/>
        <w:rPr>
          <w:sz w:val="28"/>
          <w:szCs w:val="28"/>
        </w:rPr>
      </w:pPr>
      <w:r>
        <w:rPr>
          <w:sz w:val="28"/>
          <w:szCs w:val="28"/>
        </w:rPr>
        <w:t>Ban Chấp hành Trung ương Đảng yêu cầu các cấp ủy, cơ quan, đơn vị, tổ chức, nhất là người đứng đầu tập trung sửa đổi, bổ sung, xây dựng hoàn thiện thể chế, nhất là các quy định về quản lý nhà nước, quản trị quốc gia, quản lý xã hội theo hướng đẩy mạnh phân cấp, phân quyền, xác định rõ chức năng, nhiệm vụ, thẩm quyền, trách nhiệm, tổ chức bộ máy của từng cấp, từng ngành, từng cơ quan, đơn vị, tổ chức và cá nhân; nhiệm vụ trong giai đoạn tới là rất nặng nề và nhạy cảm nhưng cũng là cơ hội để các cấp, các ngành, các địa phương lựa chọn, bố trí, sắp xếp cán bộ. Điều chỉnh kịp thời, ban hành đồng bộ các quy định, hướng dẫn để các cơ quan, đơn vị, tổ chức của hệ thống chính trị vận hành thông suốt, hoạt động hiệu năng, hiệu lực, hiệu quả theo mô hình tổ chức mới.</w:t>
      </w:r>
    </w:p>
    <w:p>
      <w:pPr>
        <w:pStyle w:val="Normal"/>
        <w:widowControl w:val="false"/>
        <w:shd w:fill="FFFFFF" w:val="clear"/>
        <w:spacing w:before="120" w:after="0"/>
        <w:ind w:firstLine="709" w:right="0"/>
        <w:jc w:val="both"/>
        <w:rPr>
          <w:sz w:val="28"/>
          <w:szCs w:val="28"/>
        </w:rPr>
      </w:pPr>
      <w:r>
        <w:rPr>
          <w:sz w:val="28"/>
          <w:szCs w:val="28"/>
        </w:rPr>
        <w:t xml:space="preserve">Ban Chấp hành Trung ương Đảng kêu gọi toàn Đảng, toàn dân, toàn quân tiếp tục đoàn kết, thống nhất, nỗ lực phấn đấu vượt qua khó khăn, thách thức, thực hiện thắng lợi nhiệm vụ sắp xếp đơn vị hành chính, tinh gọn tổ chức bộ máy của hệ thống chính trị theo tinh thần Nghị quyết số </w:t>
      </w:r>
      <w:bookmarkStart w:id="10" w:name="tvpllink_qpsriackal"/>
      <w:r>
        <w:rPr>
          <w:sz w:val="28"/>
          <w:szCs w:val="28"/>
        </w:rPr>
        <w:t>18-NQ/TW</w:t>
      </w:r>
      <w:bookmarkEnd w:id="10"/>
      <w:r>
        <w:rPr>
          <w:sz w:val="28"/>
          <w:szCs w:val="28"/>
        </w:rPr>
        <w:t xml:space="preserve"> của Ban Chấp hành Trung ương Đảng khóa XII và mục tiêu tăng trưởng GDP đạt từ 8% trở lên, cũng như các mục tiêu phát triển kinh tế - xã hội, bảo đảm quốc phòng, an ninh, đối ngoại năm 2025, tổ chức thành công đại hội đảng bộ các cấp nhiệm kỳ 2025 - 2030 tiến tới Đại hội đại biểu toàn quốc lần thứ XIV của Đảng.</w:t>
      </w:r>
    </w:p>
    <w:p>
      <w:pPr>
        <w:pStyle w:val="Normal"/>
        <w:widowControl w:val="false"/>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3983"/>
        <w:gridCol w:w="5087"/>
      </w:tblGrid>
      <w:tr>
        <w:trPr/>
        <w:tc>
          <w:tcPr>
            <w:tcW w:w="3983" w:type="dxa"/>
            <w:tcBorders/>
          </w:tcPr>
          <w:p>
            <w:pPr>
              <w:pStyle w:val="Normal"/>
              <w:widowControl w:val="false"/>
              <w:spacing w:before="120" w:after="0"/>
              <w:rPr/>
            </w:pPr>
            <w:r>
              <w:rPr/>
              <w:br/>
            </w:r>
            <w:r>
              <w:rPr>
                <w:b/>
                <w:bCs/>
                <w:i/>
                <w:iCs/>
              </w:rPr>
              <w:t>Nơi nhận:</w:t>
              <w:br/>
            </w:r>
            <w:r>
              <w:rPr>
                <w:sz w:val="22"/>
                <w:szCs w:val="22"/>
              </w:rPr>
              <w:t>- Các ban đảng, đảng ủy trực thuộc Trung ương,</w:t>
              <w:br/>
              <w:t>- Các tỉnh ủy, thành ủy,</w:t>
              <w:br/>
              <w:t>- Các đồng chí Ủy viên Ban Chấp hành Trung ương Đảng,</w:t>
              <w:br/>
              <w:t>- Lưu Văn phòng Trung ương Đảng.</w:t>
            </w:r>
          </w:p>
        </w:tc>
        <w:tc>
          <w:tcPr>
            <w:tcW w:w="5087" w:type="dxa"/>
            <w:tcBorders/>
          </w:tcPr>
          <w:p>
            <w:pPr>
              <w:pStyle w:val="Normal"/>
              <w:widowControl w:val="false"/>
              <w:spacing w:before="120" w:after="0"/>
              <w:jc w:val="center"/>
              <w:rPr>
                <w:sz w:val="28"/>
                <w:szCs w:val="28"/>
              </w:rPr>
            </w:pPr>
            <w:r>
              <w:rPr>
                <w:b/>
                <w:bCs/>
                <w:sz w:val="28"/>
                <w:szCs w:val="28"/>
              </w:rPr>
              <w:t>T/M BAN CHẤP HÀNH TRUNG ƯƠNG</w:t>
              <w:br/>
            </w:r>
            <w:r>
              <w:rPr>
                <w:sz w:val="28"/>
                <w:szCs w:val="28"/>
              </w:rPr>
              <w:t>TỔNG BÍ THƯ</w:t>
              <w:br/>
            </w:r>
            <w:r>
              <w:rPr>
                <w:b/>
                <w:bCs/>
                <w:sz w:val="28"/>
                <w:szCs w:val="28"/>
              </w:rPr>
              <w:br/>
            </w:r>
            <w:r>
              <w:rPr>
                <w:b/>
                <w:bCs/>
                <w:i/>
                <w:sz w:val="28"/>
                <w:szCs w:val="28"/>
              </w:rPr>
              <w:t>Đã ký</w:t>
            </w:r>
            <w:r>
              <w:rPr>
                <w:b/>
                <w:bCs/>
                <w:sz w:val="28"/>
                <w:szCs w:val="28"/>
              </w:rPr>
              <w:br/>
              <w:br/>
              <w:br/>
              <w:t>Tô Lâm</w:t>
            </w:r>
          </w:p>
        </w:tc>
      </w:tr>
    </w:tbl>
    <w:p>
      <w:pPr>
        <w:pStyle w:val="Normal"/>
        <w:widowControl w:val="false"/>
        <w:spacing w:before="120" w:after="280"/>
        <w:rPr/>
      </w:pPr>
      <w:r>
        <w:rPr/>
        <w:t> </w:t>
      </w:r>
    </w:p>
    <w:p>
      <w:pPr>
        <w:pStyle w:val="Normal"/>
        <w:widowControl w:val="false"/>
        <w:jc w:val="center"/>
        <w:rPr>
          <w:sz w:val="28"/>
          <w:szCs w:val="28"/>
        </w:rPr>
      </w:pPr>
      <w:bookmarkStart w:id="11" w:name="chuong_pl"/>
      <w:r>
        <w:rPr>
          <w:b/>
          <w:bCs/>
          <w:sz w:val="28"/>
          <w:szCs w:val="28"/>
        </w:rPr>
        <w:t>DANH SÁCH DỰ KIẾN TÊN GỌI CÁC TỈNH, THÀNH PHỐ VÀ TRUNG TÂM CHÍNH TRỊ - HÀNH CHÍNH (TỈNH LỴ) CỦA 34 ĐƠN VỊ HÀNH CHÍNH CẤP TỈNH</w:t>
      </w:r>
      <w:bookmarkEnd w:id="11"/>
    </w:p>
    <w:p>
      <w:pPr>
        <w:pStyle w:val="Normal"/>
        <w:widowControl w:val="false"/>
        <w:jc w:val="center"/>
        <w:rPr>
          <w:sz w:val="28"/>
          <w:szCs w:val="28"/>
        </w:rPr>
      </w:pPr>
      <w:r>
        <w:rPr>
          <w:i/>
          <w:iCs/>
          <w:sz w:val="28"/>
          <w:szCs w:val="28"/>
        </w:rPr>
        <w:t>(Kèm theo Nghị quyết số 60-NQ/TW, ngày 12/4/2025 của Hội nghị lần thứ 11 Ban Chấp hành Trung ương Đảng khoá XIII)</w:t>
      </w:r>
    </w:p>
    <w:p>
      <w:pPr>
        <w:pStyle w:val="Normal"/>
        <w:widowControl w:val="false"/>
        <w:spacing w:before="120" w:after="0"/>
        <w:ind w:firstLine="709" w:right="0"/>
        <w:jc w:val="both"/>
        <w:rPr>
          <w:sz w:val="28"/>
          <w:szCs w:val="28"/>
        </w:rPr>
      </w:pPr>
      <w:bookmarkStart w:id="12" w:name="muc_1_pl"/>
      <w:r>
        <w:rPr>
          <w:b/>
          <w:bCs/>
          <w:sz w:val="28"/>
          <w:szCs w:val="28"/>
        </w:rPr>
        <w:t>I- Các đơn vị hành chính cấp tỉnh không thực hiện sáp nhập</w:t>
      </w:r>
      <w:bookmarkEnd w:id="12"/>
    </w:p>
    <w:p>
      <w:pPr>
        <w:pStyle w:val="Normal"/>
        <w:widowControl w:val="false"/>
        <w:spacing w:before="120" w:after="0"/>
        <w:ind w:firstLine="709" w:right="0"/>
        <w:jc w:val="both"/>
        <w:rPr>
          <w:sz w:val="28"/>
          <w:szCs w:val="28"/>
        </w:rPr>
      </w:pPr>
      <w:r>
        <w:rPr>
          <w:sz w:val="28"/>
          <w:szCs w:val="28"/>
        </w:rPr>
        <w:t>1. Thành phố Hà Nội.</w:t>
      </w:r>
    </w:p>
    <w:p>
      <w:pPr>
        <w:pStyle w:val="Normal"/>
        <w:widowControl w:val="false"/>
        <w:spacing w:before="120" w:after="0"/>
        <w:ind w:firstLine="709" w:right="0"/>
        <w:jc w:val="both"/>
        <w:rPr>
          <w:sz w:val="28"/>
          <w:szCs w:val="28"/>
        </w:rPr>
      </w:pPr>
      <w:r>
        <w:rPr>
          <w:sz w:val="28"/>
          <w:szCs w:val="28"/>
        </w:rPr>
        <w:t>2. Thành phố Huế.</w:t>
      </w:r>
    </w:p>
    <w:p>
      <w:pPr>
        <w:pStyle w:val="Normal"/>
        <w:widowControl w:val="false"/>
        <w:spacing w:before="120" w:after="0"/>
        <w:ind w:firstLine="709" w:right="0"/>
        <w:jc w:val="both"/>
        <w:rPr>
          <w:sz w:val="28"/>
          <w:szCs w:val="28"/>
        </w:rPr>
      </w:pPr>
      <w:r>
        <w:rPr>
          <w:sz w:val="28"/>
          <w:szCs w:val="28"/>
        </w:rPr>
        <w:t>3. Tỉnh Lai Châu.</w:t>
      </w:r>
    </w:p>
    <w:p>
      <w:pPr>
        <w:pStyle w:val="Normal"/>
        <w:widowControl w:val="false"/>
        <w:spacing w:before="120" w:after="0"/>
        <w:ind w:firstLine="709" w:right="0"/>
        <w:jc w:val="both"/>
        <w:rPr>
          <w:sz w:val="28"/>
          <w:szCs w:val="28"/>
        </w:rPr>
      </w:pPr>
      <w:r>
        <w:rPr>
          <w:sz w:val="28"/>
          <w:szCs w:val="28"/>
        </w:rPr>
        <w:t>4. Tỉnh Điện Biên.</w:t>
      </w:r>
    </w:p>
    <w:p>
      <w:pPr>
        <w:pStyle w:val="Normal"/>
        <w:widowControl w:val="false"/>
        <w:spacing w:before="120" w:after="0"/>
        <w:ind w:firstLine="709" w:right="0"/>
        <w:jc w:val="both"/>
        <w:rPr>
          <w:sz w:val="28"/>
          <w:szCs w:val="28"/>
        </w:rPr>
      </w:pPr>
      <w:r>
        <w:rPr>
          <w:sz w:val="28"/>
          <w:szCs w:val="28"/>
        </w:rPr>
        <w:t>5. Tỉnh Sơn La.</w:t>
      </w:r>
    </w:p>
    <w:p>
      <w:pPr>
        <w:pStyle w:val="Normal"/>
        <w:widowControl w:val="false"/>
        <w:spacing w:before="120" w:after="0"/>
        <w:ind w:firstLine="709" w:right="0"/>
        <w:jc w:val="both"/>
        <w:rPr>
          <w:sz w:val="28"/>
          <w:szCs w:val="28"/>
        </w:rPr>
      </w:pPr>
      <w:r>
        <w:rPr>
          <w:sz w:val="28"/>
          <w:szCs w:val="28"/>
        </w:rPr>
        <w:t>6. Tỉnh Lạng Sơn.</w:t>
      </w:r>
    </w:p>
    <w:p>
      <w:pPr>
        <w:pStyle w:val="Normal"/>
        <w:widowControl w:val="false"/>
        <w:spacing w:before="120" w:after="0"/>
        <w:ind w:firstLine="709" w:right="0"/>
        <w:jc w:val="both"/>
        <w:rPr>
          <w:sz w:val="28"/>
          <w:szCs w:val="28"/>
        </w:rPr>
      </w:pPr>
      <w:r>
        <w:rPr>
          <w:sz w:val="28"/>
          <w:szCs w:val="28"/>
        </w:rPr>
        <w:t>7. Tỉnh Quảng Ninh.</w:t>
      </w:r>
    </w:p>
    <w:p>
      <w:pPr>
        <w:pStyle w:val="Normal"/>
        <w:widowControl w:val="false"/>
        <w:spacing w:before="120" w:after="0"/>
        <w:ind w:firstLine="709" w:right="0"/>
        <w:jc w:val="both"/>
        <w:rPr>
          <w:sz w:val="28"/>
          <w:szCs w:val="28"/>
        </w:rPr>
      </w:pPr>
      <w:r>
        <w:rPr>
          <w:sz w:val="28"/>
          <w:szCs w:val="28"/>
        </w:rPr>
        <w:t>8. Tỉnh Thanh Hoá.</w:t>
      </w:r>
    </w:p>
    <w:p>
      <w:pPr>
        <w:pStyle w:val="Normal"/>
        <w:widowControl w:val="false"/>
        <w:spacing w:before="120" w:after="0"/>
        <w:ind w:firstLine="709" w:right="0"/>
        <w:jc w:val="both"/>
        <w:rPr>
          <w:sz w:val="28"/>
          <w:szCs w:val="28"/>
        </w:rPr>
      </w:pPr>
      <w:r>
        <w:rPr>
          <w:sz w:val="28"/>
          <w:szCs w:val="28"/>
        </w:rPr>
        <w:t>9. Tỉnh Nghệ An.</w:t>
      </w:r>
    </w:p>
    <w:p>
      <w:pPr>
        <w:pStyle w:val="Normal"/>
        <w:widowControl w:val="false"/>
        <w:spacing w:before="120" w:after="0"/>
        <w:ind w:firstLine="709" w:right="0"/>
        <w:jc w:val="both"/>
        <w:rPr>
          <w:sz w:val="28"/>
          <w:szCs w:val="28"/>
        </w:rPr>
      </w:pPr>
      <w:r>
        <w:rPr>
          <w:sz w:val="28"/>
          <w:szCs w:val="28"/>
        </w:rPr>
        <w:t>10. Tỉnh Hà Tĩnh.</w:t>
      </w:r>
    </w:p>
    <w:p>
      <w:pPr>
        <w:pStyle w:val="Normal"/>
        <w:widowControl w:val="false"/>
        <w:spacing w:before="120" w:after="0"/>
        <w:ind w:firstLine="709" w:right="0"/>
        <w:jc w:val="both"/>
        <w:rPr>
          <w:sz w:val="28"/>
          <w:szCs w:val="28"/>
        </w:rPr>
      </w:pPr>
      <w:r>
        <w:rPr>
          <w:sz w:val="28"/>
          <w:szCs w:val="28"/>
        </w:rPr>
        <w:t>11. Tỉnh Cao Bằng.</w:t>
      </w:r>
    </w:p>
    <w:p>
      <w:pPr>
        <w:pStyle w:val="Normal"/>
        <w:widowControl w:val="false"/>
        <w:spacing w:before="120" w:after="0"/>
        <w:ind w:firstLine="709" w:right="0"/>
        <w:jc w:val="both"/>
        <w:rPr>
          <w:sz w:val="28"/>
          <w:szCs w:val="28"/>
        </w:rPr>
      </w:pPr>
      <w:bookmarkStart w:id="13" w:name="muc_2_pl"/>
      <w:r>
        <w:rPr>
          <w:b/>
          <w:bCs/>
          <w:sz w:val="28"/>
          <w:szCs w:val="28"/>
        </w:rPr>
        <w:t>II- Các đơn vị hành chính cấp tỉnh mới sau sáp nhập, hợp nhất</w:t>
      </w:r>
      <w:bookmarkEnd w:id="13"/>
    </w:p>
    <w:p>
      <w:pPr>
        <w:pStyle w:val="Normal"/>
        <w:widowControl w:val="false"/>
        <w:spacing w:before="120" w:after="0"/>
        <w:ind w:firstLine="709" w:right="0"/>
        <w:jc w:val="both"/>
        <w:rPr>
          <w:sz w:val="28"/>
          <w:szCs w:val="28"/>
        </w:rPr>
      </w:pPr>
      <w:r>
        <w:rPr>
          <w:sz w:val="28"/>
          <w:szCs w:val="28"/>
        </w:rPr>
        <w:t>1. Hợp nhất tỉnh Tuyên Quang và tỉnh Hà Giang, lấy tên là tỉnh Tuyên Quang, trung tâm chính trị - hành chính đặt tại tỉnh Tuyên Quang hiện nay.</w:t>
      </w:r>
    </w:p>
    <w:p>
      <w:pPr>
        <w:pStyle w:val="Normal"/>
        <w:widowControl w:val="false"/>
        <w:spacing w:before="120" w:after="0"/>
        <w:ind w:firstLine="709" w:right="0"/>
        <w:jc w:val="both"/>
        <w:rPr>
          <w:sz w:val="28"/>
          <w:szCs w:val="28"/>
        </w:rPr>
      </w:pPr>
      <w:r>
        <w:rPr>
          <w:sz w:val="28"/>
          <w:szCs w:val="28"/>
        </w:rPr>
        <w:t>2. Hợp nhất tỉnh Lào Cai và tỉnh Yên Bái, lấy tên là tỉnh Lào Cai, trung tâm chính trị - hành chính đặt tại tỉnh Yên Bái hiện nay.</w:t>
      </w:r>
    </w:p>
    <w:p>
      <w:pPr>
        <w:pStyle w:val="Normal"/>
        <w:widowControl w:val="false"/>
        <w:spacing w:before="120" w:after="0"/>
        <w:ind w:firstLine="709" w:right="0"/>
        <w:jc w:val="both"/>
        <w:rPr>
          <w:sz w:val="28"/>
          <w:szCs w:val="28"/>
        </w:rPr>
      </w:pPr>
      <w:r>
        <w:rPr>
          <w:sz w:val="28"/>
          <w:szCs w:val="28"/>
        </w:rPr>
        <w:t>3. Hợp nhất tỉnh Bắc Kạn và tỉnh Thái Nguyên, lấy tên là tỉnh Thái Nguyên, trung tâm chính trị - hành chính đặt tại tỉnh Thái Nguyên hiện nay.</w:t>
      </w:r>
    </w:p>
    <w:p>
      <w:pPr>
        <w:pStyle w:val="Normal"/>
        <w:widowControl w:val="false"/>
        <w:spacing w:before="120" w:after="0"/>
        <w:ind w:firstLine="709" w:right="0"/>
        <w:jc w:val="both"/>
        <w:rPr>
          <w:sz w:val="28"/>
          <w:szCs w:val="28"/>
        </w:rPr>
      </w:pPr>
      <w:r>
        <w:rPr>
          <w:sz w:val="28"/>
          <w:szCs w:val="28"/>
        </w:rPr>
        <w:t>4. Hợp nhất tỉnh Vĩnh Phúc, tỉnh Phú Thọ và tỉnh Hoà Bình; lấy tên là tỉnh Phú Thọ, trung tâm chính trị - hành chính đặt tại tỉnh Phú Thọ hiện nay.</w:t>
      </w:r>
    </w:p>
    <w:p>
      <w:pPr>
        <w:pStyle w:val="Normal"/>
        <w:widowControl w:val="false"/>
        <w:spacing w:before="120" w:after="0"/>
        <w:ind w:firstLine="709" w:right="0"/>
        <w:jc w:val="both"/>
        <w:rPr>
          <w:sz w:val="28"/>
          <w:szCs w:val="28"/>
        </w:rPr>
      </w:pPr>
      <w:r>
        <w:rPr>
          <w:sz w:val="28"/>
          <w:szCs w:val="28"/>
        </w:rPr>
        <w:t>5. Hợp nhất tỉnh Bắc Ninh và tỉnh Bắc Giang, lấy tên là tỉnh Bắc Ninh, trung tâm chính trị - hành chính đặt tại tỉnh Bắc Giang hiện nay.</w:t>
      </w:r>
    </w:p>
    <w:p>
      <w:pPr>
        <w:pStyle w:val="Normal"/>
        <w:widowControl w:val="false"/>
        <w:spacing w:before="120" w:after="0"/>
        <w:ind w:firstLine="709" w:right="0"/>
        <w:jc w:val="both"/>
        <w:rPr>
          <w:sz w:val="28"/>
          <w:szCs w:val="28"/>
        </w:rPr>
      </w:pPr>
      <w:r>
        <w:rPr>
          <w:sz w:val="28"/>
          <w:szCs w:val="28"/>
        </w:rPr>
        <w:t>6. Hợp nhất tỉnh Hưng Yên và tỉnh Thái Bình, lấy tên là tỉnh Hưng Yên, trung tâm chính trị - hành chính đặt tại tỉnh Hưng Yên hiện nay.</w:t>
      </w:r>
    </w:p>
    <w:p>
      <w:pPr>
        <w:pStyle w:val="Normal"/>
        <w:widowControl w:val="false"/>
        <w:spacing w:before="120" w:after="0"/>
        <w:ind w:firstLine="709" w:right="0"/>
        <w:jc w:val="both"/>
        <w:rPr>
          <w:sz w:val="28"/>
          <w:szCs w:val="28"/>
        </w:rPr>
      </w:pPr>
      <w:r>
        <w:rPr>
          <w:sz w:val="28"/>
          <w:szCs w:val="28"/>
        </w:rPr>
        <w:t>7. Hợp nhất tỉnh Hải Dương và thành phố Hải Phòng, lấy tên là thành phố Hải Phòng, trung tâm chính trị - hành chính đặt tại thành phố Hải Phòng hiện nay.</w:t>
      </w:r>
    </w:p>
    <w:p>
      <w:pPr>
        <w:pStyle w:val="Normal"/>
        <w:widowControl w:val="false"/>
        <w:spacing w:before="120" w:after="0"/>
        <w:ind w:firstLine="709" w:right="0"/>
        <w:jc w:val="both"/>
        <w:rPr>
          <w:sz w:val="28"/>
          <w:szCs w:val="28"/>
        </w:rPr>
      </w:pPr>
      <w:r>
        <w:rPr>
          <w:sz w:val="28"/>
          <w:szCs w:val="28"/>
        </w:rPr>
        <w:t>8. Hợp nhất tỉnh Hà Nam, tỉnh Ninh Bình và tỉnh Nam Định; lấy tên là tỉnh Ninh Bình, trung tâm chính trị - hành chính đặt tại tỉnh Ninh Bình hiện nay.</w:t>
      </w:r>
    </w:p>
    <w:p>
      <w:pPr>
        <w:pStyle w:val="Normal"/>
        <w:widowControl w:val="false"/>
        <w:spacing w:before="120" w:after="0"/>
        <w:ind w:firstLine="709" w:right="0"/>
        <w:jc w:val="both"/>
        <w:rPr>
          <w:sz w:val="28"/>
          <w:szCs w:val="28"/>
        </w:rPr>
      </w:pPr>
      <w:r>
        <w:rPr>
          <w:sz w:val="28"/>
          <w:szCs w:val="28"/>
        </w:rPr>
        <w:t>9. Hợp nhất tỉnh Quảng Bình và tỉnh Quảng Trị, lấy tên là tỉnh Quảng Trị, trung tâm chính trị - hành chính đặt tại tỉnh Quảng Bình hiện nay.</w:t>
      </w:r>
    </w:p>
    <w:p>
      <w:pPr>
        <w:pStyle w:val="Normal"/>
        <w:widowControl w:val="false"/>
        <w:spacing w:before="120" w:after="0"/>
        <w:ind w:firstLine="709" w:right="0"/>
        <w:jc w:val="both"/>
        <w:rPr>
          <w:sz w:val="28"/>
          <w:szCs w:val="28"/>
        </w:rPr>
      </w:pPr>
      <w:r>
        <w:rPr>
          <w:sz w:val="28"/>
          <w:szCs w:val="28"/>
        </w:rPr>
        <w:t>10. Hợp nhất tỉnh Quảng Nam và thành phố Đà Nẵng, lấy tên là thành phố Đà Nẵng, trung tâm chính trị - hành chính đặt tại thành phố Đà Nẵng hiện nay.</w:t>
      </w:r>
    </w:p>
    <w:p>
      <w:pPr>
        <w:pStyle w:val="Normal"/>
        <w:widowControl w:val="false"/>
        <w:spacing w:before="120" w:after="0"/>
        <w:ind w:firstLine="709" w:right="0"/>
        <w:jc w:val="both"/>
        <w:rPr>
          <w:sz w:val="28"/>
          <w:szCs w:val="28"/>
        </w:rPr>
      </w:pPr>
      <w:r>
        <w:rPr>
          <w:sz w:val="28"/>
          <w:szCs w:val="28"/>
        </w:rPr>
        <w:t>11. Hợp nhất tỉnh Kon Tum và tỉnh Quảng Ngãi, lấy tên là tỉnh Quảng Ngãi, trung tâm chính trị - hành chính đặt tại tỉnh Quảng Ngãi hiện nay.</w:t>
      </w:r>
    </w:p>
    <w:p>
      <w:pPr>
        <w:pStyle w:val="Normal"/>
        <w:widowControl w:val="false"/>
        <w:spacing w:before="120" w:after="0"/>
        <w:ind w:firstLine="709" w:right="0"/>
        <w:jc w:val="both"/>
        <w:rPr>
          <w:sz w:val="28"/>
          <w:szCs w:val="28"/>
        </w:rPr>
      </w:pPr>
      <w:r>
        <w:rPr>
          <w:sz w:val="28"/>
          <w:szCs w:val="28"/>
        </w:rPr>
        <w:t>12. Hợp nhất tỉnh Gia Lai và tỉnh Bình Định, lấy tên là tỉnh Gia Lai, trung tâm chính trị - hành chính đặt tại tỉnh Bình Định.</w:t>
      </w:r>
    </w:p>
    <w:p>
      <w:pPr>
        <w:pStyle w:val="Normal"/>
        <w:widowControl w:val="false"/>
        <w:spacing w:before="120" w:after="0"/>
        <w:ind w:firstLine="709" w:right="0"/>
        <w:jc w:val="both"/>
        <w:rPr>
          <w:sz w:val="28"/>
          <w:szCs w:val="28"/>
        </w:rPr>
      </w:pPr>
      <w:r>
        <w:rPr>
          <w:sz w:val="28"/>
          <w:szCs w:val="28"/>
        </w:rPr>
        <w:t>13. Hợp nhất tỉnh Ninh Thuận và tỉnh Khánh Hoà, lấy tên là tỉnh Khánh Hoà, trung tâm chính trị - hành chính đặt tại tỉnh Khánh Hoà hiện nay.</w:t>
      </w:r>
    </w:p>
    <w:p>
      <w:pPr>
        <w:pStyle w:val="Normal"/>
        <w:widowControl w:val="false"/>
        <w:spacing w:before="120" w:after="0"/>
        <w:ind w:firstLine="709" w:right="0"/>
        <w:jc w:val="both"/>
        <w:rPr>
          <w:sz w:val="28"/>
          <w:szCs w:val="28"/>
        </w:rPr>
      </w:pPr>
      <w:r>
        <w:rPr>
          <w:sz w:val="28"/>
          <w:szCs w:val="28"/>
        </w:rPr>
        <w:t>14. Hợp nhất tỉnh Lâm Đồng, tỉnh Đắk Nông và tỉnh Bình Thuận; lấy tên là tỉnh Lâm Đồng, trung tâm chính trị - hành chính đặt tại tỉnh Lâm Đồng hiện nay.</w:t>
      </w:r>
    </w:p>
    <w:p>
      <w:pPr>
        <w:pStyle w:val="Normal"/>
        <w:widowControl w:val="false"/>
        <w:spacing w:before="120" w:after="0"/>
        <w:ind w:firstLine="709" w:right="0"/>
        <w:jc w:val="both"/>
        <w:rPr>
          <w:sz w:val="28"/>
          <w:szCs w:val="28"/>
        </w:rPr>
      </w:pPr>
      <w:r>
        <w:rPr>
          <w:sz w:val="28"/>
          <w:szCs w:val="28"/>
        </w:rPr>
        <w:t>15. Hợp nhất tỉnh Đắk Lắk và tỉnh Phú Yên, lấy tên là tỉnh Đắk Lắk, trung tâm chính trị - hành chính đặt tại tỉnh Đắk Lắk hiện nay.</w:t>
      </w:r>
    </w:p>
    <w:p>
      <w:pPr>
        <w:pStyle w:val="Normal"/>
        <w:widowControl w:val="false"/>
        <w:spacing w:before="120" w:after="0"/>
        <w:ind w:firstLine="709" w:right="0"/>
        <w:jc w:val="both"/>
        <w:rPr>
          <w:sz w:val="28"/>
          <w:szCs w:val="28"/>
        </w:rPr>
      </w:pPr>
      <w:r>
        <w:rPr>
          <w:sz w:val="28"/>
          <w:szCs w:val="28"/>
        </w:rPr>
        <w:t>16. Hợp nhất tỉnh Bà Rịa - Vũng Tàu, tỉnh Bình Dương và Thành phố Hồ Chí Minh; lấy tên là Thành phố Hồ Chí Minh, trung tâm chính trị - hành chính đặt tại Thành phố Hồ Chí Minh hiện nay.</w:t>
      </w:r>
    </w:p>
    <w:p>
      <w:pPr>
        <w:pStyle w:val="Normal"/>
        <w:widowControl w:val="false"/>
        <w:spacing w:before="120" w:after="0"/>
        <w:ind w:firstLine="709" w:right="0"/>
        <w:jc w:val="both"/>
        <w:rPr>
          <w:sz w:val="28"/>
          <w:szCs w:val="28"/>
        </w:rPr>
      </w:pPr>
      <w:r>
        <w:rPr>
          <w:sz w:val="28"/>
          <w:szCs w:val="28"/>
        </w:rPr>
        <w:t>17. Hợp nhất tỉnh Đồng Nai và tỉnh Bình Phước, lấy tên là tỉnh Đồng Nai, trung tâm chính trị - hành chính đặt tại tỉnh Đồng Nai hiện nay.</w:t>
      </w:r>
    </w:p>
    <w:p>
      <w:pPr>
        <w:pStyle w:val="Normal"/>
        <w:widowControl w:val="false"/>
        <w:spacing w:before="120" w:after="0"/>
        <w:ind w:firstLine="709" w:right="0"/>
        <w:jc w:val="both"/>
        <w:rPr>
          <w:sz w:val="28"/>
          <w:szCs w:val="28"/>
        </w:rPr>
      </w:pPr>
      <w:r>
        <w:rPr>
          <w:sz w:val="28"/>
          <w:szCs w:val="28"/>
        </w:rPr>
        <w:t>18. Hợp nhất tỉnh Tây Ninh và tỉnh Long An, lấy tên là tỉnh Tây Ninh, trung tâm chính trị - hành chính đặt tại tỉnh Long An.</w:t>
      </w:r>
    </w:p>
    <w:p>
      <w:pPr>
        <w:pStyle w:val="Normal"/>
        <w:widowControl w:val="false"/>
        <w:spacing w:before="120" w:after="0"/>
        <w:ind w:firstLine="709" w:right="0"/>
        <w:jc w:val="both"/>
        <w:rPr>
          <w:sz w:val="28"/>
          <w:szCs w:val="28"/>
        </w:rPr>
      </w:pPr>
      <w:r>
        <w:rPr>
          <w:sz w:val="28"/>
          <w:szCs w:val="28"/>
        </w:rPr>
        <w:t>19. Hợp nhất thành phố cần Thơ, tỉnh Sóc Trăng và tỉnh Hậu Giang; lấy tên là thành phố Cần Thơ, trung tâm chính trị - hành chính đặt tại thành phố Cần Thơ hiện nay.</w:t>
      </w:r>
    </w:p>
    <w:p>
      <w:pPr>
        <w:pStyle w:val="Normal"/>
        <w:widowControl w:val="false"/>
        <w:spacing w:before="120" w:after="0"/>
        <w:ind w:firstLine="709" w:right="0"/>
        <w:jc w:val="both"/>
        <w:rPr>
          <w:sz w:val="28"/>
          <w:szCs w:val="28"/>
        </w:rPr>
      </w:pPr>
      <w:r>
        <w:rPr>
          <w:sz w:val="28"/>
          <w:szCs w:val="28"/>
        </w:rPr>
        <w:t>20. Hợp nhất tỉnh Bến Tre, tỉnh Vĩnh Long và tỉnh Trà Vinh; lấy tên là tỉnh Vĩnh Long, trung tâm chính trị - hành chính đặt tại tỉnh Vĩnh Long hiện nay.</w:t>
      </w:r>
    </w:p>
    <w:p>
      <w:pPr>
        <w:pStyle w:val="Normal"/>
        <w:widowControl w:val="false"/>
        <w:spacing w:before="120" w:after="0"/>
        <w:ind w:firstLine="709" w:right="0"/>
        <w:jc w:val="both"/>
        <w:rPr>
          <w:sz w:val="28"/>
          <w:szCs w:val="28"/>
        </w:rPr>
      </w:pPr>
      <w:r>
        <w:rPr>
          <w:sz w:val="28"/>
          <w:szCs w:val="28"/>
        </w:rPr>
        <w:t>21. Hợp nhất tỉnh Tiền Giang và tỉnh Đồng Tháp, lấy tên là tỉnh Đồng Tháp, trung tâm chính trị - hành chính đặt tại tỉnh Tiền Giang.</w:t>
      </w:r>
    </w:p>
    <w:p>
      <w:pPr>
        <w:pStyle w:val="Normal"/>
        <w:widowControl w:val="false"/>
        <w:spacing w:before="120" w:after="0"/>
        <w:ind w:firstLine="709" w:right="0"/>
        <w:jc w:val="both"/>
        <w:rPr>
          <w:sz w:val="28"/>
          <w:szCs w:val="28"/>
        </w:rPr>
      </w:pPr>
      <w:r>
        <w:rPr>
          <w:sz w:val="28"/>
          <w:szCs w:val="28"/>
        </w:rPr>
        <w:t>22. Hợp nhất tỉnh Bạc Liêu và tỉnh Cà Mau, lấy tên là tỉnh Cà Mau, trung tâm chính trị - hành chính đặt tại tỉnh Cà Mau hiện nay.</w:t>
      </w:r>
    </w:p>
    <w:p>
      <w:pPr>
        <w:pStyle w:val="Normal"/>
        <w:widowControl w:val="false"/>
        <w:spacing w:before="120" w:after="0"/>
        <w:ind w:firstLine="709" w:right="0"/>
        <w:jc w:val="both"/>
        <w:rPr>
          <w:sz w:val="28"/>
          <w:szCs w:val="28"/>
        </w:rPr>
      </w:pPr>
      <w:r>
        <w:rPr>
          <w:sz w:val="28"/>
          <w:szCs w:val="28"/>
        </w:rPr>
        <w:t>23. Hợp nhất tỉnh An Giang và tỉnh Kiên Giang, lấy tên là tỉnh An Giang, trung tâm chính trị - hành chính đặt tại tỉnh Kiên Giang.</w:t>
      </w:r>
    </w:p>
    <w:sectPr>
      <w:headerReference w:type="default" r:id="rId2"/>
      <w:headerReference w:type="first" r:id="rId3"/>
      <w:footerReference w:type="default" r:id="rId4"/>
      <w:footerReference w:type="first" r:id="rId5"/>
      <w:type w:val="nextPage"/>
      <w:pgSz w:w="11906" w:h="16838"/>
      <w:pgMar w:left="1985" w:right="851" w:gutter="0" w:header="720" w:top="1418" w:footer="72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a3"/>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Header"/>
      <w:rPr>
        <w:sz w:val="28"/>
        <w:szCs w:val="28"/>
      </w:rPr>
    </w:pPr>
    <w:r>
      <w:rPr>
        <w:sz w:val="28"/>
        <w:szCs w:val="28"/>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vi-VN" w:bidi="ar-SA" w:eastAsia="zh-CN"/>
    </w:rPr>
  </w:style>
  <w:style w:type="character" w:styleId="DefaultParagraphFont">
    <w:name w:val="Default Paragraph Font"/>
    <w:qFormat/>
    <w:rPr/>
  </w:style>
  <w:style w:type="character" w:styleId="HeaderChar">
    <w:name w:val="Header Char"/>
    <w:qFormat/>
    <w:rPr>
      <w:sz w:val="24"/>
      <w:szCs w:val="24"/>
    </w:rPr>
  </w:style>
  <w:style w:type="character" w:styleId="FooterChar">
    <w:name w:val="Footer Char"/>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style>
  <w:style w:type="paragraph" w:styleId="Footer">
    <w:name w:val="Footer"/>
    <w:basedOn w:val="Normal"/>
    <w:pPr>
      <w:tabs>
        <w:tab w:val="clear" w:pos="720"/>
        <w:tab w:val="center" w:pos="4513" w:leader="none"/>
        <w:tab w:val="right" w:pos="902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2025-04-15T16:36:00Z</dcterms:created>
  <dc:creator>MAYTINH</dc:creator>
  <dc:description/>
  <cp:keywords/>
  <dc:language>en-US</dc:language>
  <cp:lastModifiedBy>MAYTINH</cp:lastModifiedBy>
  <dcterms:modified xsi:type="dcterms:W3CDTF">2025-04-15T16:46:00Z</dcterms:modified>
  <cp:revision>3</cp:revision>
  <dc:subject/>
  <dc:title/>
</cp:coreProperties>
</file>