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rFonts w:ascii="Google Sans" w:cs="Google Sans" w:eastAsia="Google Sans" w:hAnsi="Google Sans"/>
          <w:b w:val="1"/>
          <w:bCs w:val="1"/>
          <w:sz w:val="34"/>
          <w:szCs w:val="34"/>
        </w:rPr>
      </w:pPr>
      <w:bookmarkStart w:colFirst="0" w:colLast="0" w:name="_o139gf34q5k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34"/>
          <w:szCs w:val="34"/>
          <w:rtl w:val="0"/>
        </w:rPr>
        <w:t xml:space="preserve">Fintech Competition Rubric: Advanced AI &amp; Incubation-Ready Scaling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F</w:t>
      </w:r>
      <w:r w:rsidDel="00000000" w:rsidR="00000000" w:rsidRPr="00000000">
        <w:rPr>
          <w:rtl w:val="0"/>
        </w:rPr>
        <w:t xml:space="preserve">ocusing on proprietary tech moats, market localization, and incubation entry criteria.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h889u9q9erew" w:id="1"/>
      <w:bookmarkEnd w:id="1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Competition Deliverables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Incubator Investment Proposal:</w:t>
      </w:r>
      <w:r w:rsidDel="00000000" w:rsidR="00000000" w:rsidRPr="00000000">
        <w:rPr>
          <w:rtl w:val="0"/>
        </w:rPr>
        <w:t xml:space="preserve"> Max 10 pages detailing proprietary AI methodologies, custom infrastructure architecture, and a commercial scaling roadmap optimized for incubators like UII Incubator or Dr. Ho’s Incubator.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Advanced AI-Powered Prototype:</w:t>
      </w:r>
      <w:r w:rsidDel="00000000" w:rsidR="00000000" w:rsidRPr="00000000">
        <w:rPr>
          <w:rtl w:val="0"/>
        </w:rPr>
        <w:t xml:space="preserve"> Deployed application integrating custom server backends and functional agentic AI features.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0" w:lineRule="auto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73ymdkc56krg" w:id="2"/>
      <w:bookmarkEnd w:id="2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Evaluation Matrix</w:t>
      </w:r>
    </w:p>
    <w:tbl>
      <w:tblPr>
        <w:tblStyle w:val="Table1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185"/>
        <w:gridCol w:w="5175"/>
        <w:tblGridChange w:id="0">
          <w:tblGrid>
            <w:gridCol w:w="2460"/>
            <w:gridCol w:w="1185"/>
            <w:gridCol w:w="5175"/>
          </w:tblGrid>
        </w:tblGridChange>
      </w:tblGrid>
      <w:tr>
        <w:trPr>
          <w:cantSplit w:val="0"/>
          <w:trHeight w:val="82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Venture Capital &amp; Incubator Focus (Real-World &amp; Practicality)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Proprietary Financial Intelligence &amp; Data Moat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Alternative Data Mastery:</w:t>
            </w:r>
            <w:r w:rsidDel="00000000" w:rsidR="00000000" w:rsidRPr="00000000">
              <w:rPr>
                <w:rtl w:val="0"/>
              </w:rPr>
              <w:t xml:space="preserve"> Uses AI to scrape, analyze, and unlock value from non-traditional datasets (e.g., social media sentiment, web retail trends, utility footprints).</w:t>
            </w:r>
          </w:p>
          <w:p w:rsidR="00000000" w:rsidDel="00000000" w:rsidP="00000000" w:rsidRDefault="00000000" w:rsidRPr="00000000" w14:paraId="0000000D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Risk &amp; Personalization Utility:</w:t>
            </w:r>
            <w:r w:rsidDel="00000000" w:rsidR="00000000" w:rsidRPr="00000000">
              <w:rPr>
                <w:rtl w:val="0"/>
              </w:rPr>
              <w:t xml:space="preserve"> Translates data insights into actionable business advantages, such as proprietary credit scoring models, personalized investment engines, or advanced fraud detection.</w:t>
            </w:r>
          </w:p>
        </w:tc>
      </w:tr>
      <w:tr>
        <w:trPr>
          <w:cantSplit w:val="0"/>
          <w:trHeight w:val="3122.4023437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Localized Technical 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Solving Real Market Friction:</w:t>
            </w:r>
            <w:r w:rsidDel="00000000" w:rsidR="00000000" w:rsidRPr="00000000">
              <w:rPr>
                <w:rtl w:val="0"/>
              </w:rPr>
              <w:t xml:space="preserve"> Replaces rigid global sandboxes with a custom backend OpenAPI server or local enterprise API (e.g., UOB) to process native transactions natively.</w:t>
            </w:r>
          </w:p>
          <w:p w:rsidR="00000000" w:rsidDel="00000000" w:rsidP="00000000" w:rsidRDefault="00000000" w:rsidRPr="00000000" w14:paraId="0000001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 Architecture:</w:t>
            </w:r>
            <w:r w:rsidDel="00000000" w:rsidR="00000000" w:rsidRPr="00000000">
              <w:rPr>
                <w:rtl w:val="0"/>
              </w:rPr>
              <w:t xml:space="preserve"> Systematically exposes custom endpoints that deliver AI-processed alternative data straight to the frontend and conversational agents.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 AI &amp; Next-Gen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Frictionless AI Automation:</w:t>
            </w:r>
            <w:r w:rsidDel="00000000" w:rsidR="00000000" w:rsidRPr="00000000">
              <w:rPr>
                <w:rtl w:val="0"/>
              </w:rPr>
              <w:t xml:space="preserve"> Elevates the application experience using an advanced LLM agent (e.g., Gemini API) that moves beyond static chat to actively trigger transactions and call backend APIs via natural language.</w:t>
            </w:r>
          </w:p>
          <w:p w:rsidR="00000000" w:rsidDel="00000000" w:rsidP="00000000" w:rsidRDefault="00000000" w:rsidRPr="00000000" w14:paraId="0000001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Conversational Logic:</w:t>
            </w:r>
            <w:r w:rsidDel="00000000" w:rsidR="00000000" w:rsidRPr="00000000">
              <w:rPr>
                <w:rtl w:val="0"/>
              </w:rPr>
              <w:t xml:space="preserve"> Smoothly resolves user prompts regarding account status, complex financial calculations, or localized platform actions.</w:t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Incubation Target Readiness (Demo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7" w:val="single"/>
              <w:left w:color="c4c7c5" w:space="0" w:sz="7" w:val="single"/>
              <w:bottom w:color="c4c7c5" w:space="0" w:sz="7" w:val="single"/>
              <w:right w:color="c4c7c5" w:space="0" w:sz="7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Incubator Viability:</w:t>
            </w:r>
            <w:r w:rsidDel="00000000" w:rsidR="00000000" w:rsidRPr="00000000">
              <w:rPr>
                <w:rtl w:val="0"/>
              </w:rPr>
              <w:t xml:space="preserve"> The team demonstrates high commercial viability, articulating an investment-ready pitch calibrated for accelerators like the UII Incubator.</w:t>
            </w:r>
          </w:p>
          <w:p w:rsidR="00000000" w:rsidDel="00000000" w:rsidP="00000000" w:rsidRDefault="00000000" w:rsidRPr="00000000" w14:paraId="0000001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*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Technical Defensibility:</w:t>
            </w:r>
            <w:r w:rsidDel="00000000" w:rsidR="00000000" w:rsidRPr="00000000">
              <w:rPr>
                <w:rtl w:val="0"/>
              </w:rPr>
              <w:t xml:space="preserve"> The architectural choices, localized compliance considerations, and AI implementations are resilient enough to handle production-scale financial operations.</w:t>
            </w:r>
          </w:p>
        </w:tc>
      </w:tr>
    </w:tbl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c645jxr2jjn7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0" w:lineRule="auto"/>
        <w:ind w:left="600" w:right="600" w:firstLine="0"/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</w:rPr>
      </w:pPr>
      <w:bookmarkStart w:colFirst="0" w:colLast="0" w:name="_hpszrmelgrez" w:id="4"/>
      <w:bookmarkEnd w:id="4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000000"/>
          <w:sz w:val="26"/>
          <w:szCs w:val="26"/>
          <w:rtl w:val="0"/>
        </w:rPr>
        <w:t xml:space="preserve">Key Adjustments for the Competition Format: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Shift from Grades to Moats:</w:t>
      </w:r>
      <w:r w:rsidDel="00000000" w:rsidR="00000000" w:rsidRPr="00000000">
        <w:rPr>
          <w:rtl w:val="0"/>
        </w:rPr>
        <w:t xml:space="preserve"> Academic requirements for documentation are replaced by evaluations of the startup's "Technical Defensibility" and "Data Moats".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Localization Priority:</w:t>
      </w:r>
      <w:r w:rsidDel="00000000" w:rsidR="00000000" w:rsidRPr="00000000">
        <w:rPr>
          <w:rtl w:val="0"/>
        </w:rPr>
        <w:t xml:space="preserve"> Teams are heavily incentivized to fix systemic operational limitations (such as global API currency bugs) by creating custom backend servers tailored specifically to their regional target markets.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Rule="auto"/>
        <w:ind w:left="1320" w:right="600" w:hanging="360"/>
      </w:pPr>
      <w:r w:rsidDel="00000000" w:rsidR="00000000" w:rsidRPr="00000000">
        <w:rPr>
          <w:b w:val="1"/>
          <w:bCs w:val="1"/>
          <w:rtl w:val="0"/>
        </w:rPr>
        <w:t xml:space="preserve">Incubation Focus:</w:t>
      </w:r>
      <w:r w:rsidDel="00000000" w:rsidR="00000000" w:rsidRPr="00000000">
        <w:rPr>
          <w:rtl w:val="0"/>
        </w:rPr>
        <w:t xml:space="preserve"> The traditional "Future Roadmap" section is adapted directly into an active evaluation of incubation readiness, preparing the founders to pitch face-to-face against institutional criteria.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