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ỦY BAN KHỞI NGHIỆP VÀ ĐỔI MỚI SÁNG TẠO</w:t>
        <w:br/>
      </w:r>
      <w:r>
        <w:rPr>
          <w:sz w:val="28"/>
        </w:rPr>
        <w:t>ĐỀ ÁN THAM GIA CHƯƠNG TRÌNH ƯƠM TẠO DOANH NGHIỆP</w:t>
        <w:br/>
        <w:br/>
        <w:br/>
        <w:br/>
      </w:r>
      <w:r>
        <w:rPr>
          <w:b/>
          <w:color w:val="10B981"/>
          <w:sz w:val="56"/>
        </w:rPr>
        <w:t>FINCORE WALLET</w:t>
        <w:br/>
      </w:r>
      <w:r>
        <w:rPr>
          <w:i/>
          <w:color w:val="4B5563"/>
          <w:sz w:val="26"/>
        </w:rPr>
        <w:t>"Ví Điện Tử AI Đầu Tiên Tại Việt Nam Phân Tích Hành Vi Tài Chính Từ Dữ Liệu Thay Thế Để Cá Nhân Hóa Danh Mục Đầu Tư"</w:t>
        <w:br/>
        <w:br/>
        <w:br/>
        <w:br/>
        <w:br/>
      </w:r>
    </w:p>
    <w:p>
      <w:pPr>
        <w:ind w:left="2160"/>
        <w:jc w:val="left"/>
      </w:pPr>
      <w:r>
        <w:rPr>
          <w:sz w:val="26"/>
        </w:rPr>
        <w:t>Thành viên nhóm dự án:</w:t>
        <w:br/>
        <w:t>1. Nguyễn Văn Huy - Trưởng nhóm kỹ thuật &amp; AI Architect</w:t>
        <w:br/>
        <w:t>2. Lê Hoàng Nam - Chuyên gia Phân tích Tài chính &amp; Kinh doanh</w:t>
        <w:br/>
        <w:t>3. Trần Thị Mai Anh - Thiết kế UX/UI &amp; Phát triển Frontend</w:t>
        <w:br/>
        <w:br/>
        <w:br/>
        <w:br/>
      </w:r>
    </w:p>
    <w:p>
      <w:pPr>
        <w:jc w:val="center"/>
      </w:pPr>
      <w:r>
        <w:rPr>
          <w:color w:val="4B5563"/>
          <w:sz w:val="26"/>
        </w:rPr>
        <w:t>Thành phố Hồ Chí Minh, tháng 06 năm 2026</w:t>
      </w:r>
    </w:p>
    <w:p>
      <w:r>
        <w:br w:type="page"/>
      </w:r>
    </w:p>
    <w:p>
      <w:pPr>
        <w:pStyle w:val="Heading2"/>
      </w:pPr>
      <w:r>
        <w:t>MỤC LỤC BÁO CÁO</w:t>
      </w:r>
    </w:p>
    <w:p>
      <w:pPr>
        <w:spacing w:line="312" w:lineRule="auto"/>
      </w:pPr>
      <w:r>
        <w:rPr>
          <w:sz w:val="22"/>
        </w:rPr>
        <w:t>PHẦN MỞ ĐẦU: TÓM TẮT ĐIỀU HÀNH (EXECUTIVE SUMMARY) .................................................. Trang 2</w:t>
        <w:br/>
        <w:t>PHẦN 1: PHƯƠNG PHÁP AI ĐỘC QUYỀN (PROPRIETARY AI METHODOLOGIES) ........................... Trang 3</w:t>
        <w:br/>
        <w:t xml:space="preserve">  1.1 Nguồn dữ liệu hành vi thay thế (Alternative Data Sources) ........................................ Trang 3</w:t>
        <w:br/>
        <w:t xml:space="preserve">  1.2 Xây dựng 15 đặc trưng hành vi tài chính (Feature Engineering) .................................. Trang 4</w:t>
        <w:br/>
        <w:t xml:space="preserve">  1.3 Học máy lai: Phân cụm K-Means và XGBoost Real-time .............................................. Trang 5</w:t>
        <w:br/>
        <w:t xml:space="preserve">  1.4 Thuật toán Khớp nối Động và Trợ lý Agentic AI Gemini .............................................. Trang 5</w:t>
        <w:br/>
        <w:t>PHẦN 2: KIẾN TRÚC HẠ TẦNG TÙY CHỈNH (CUSTOM INFRASTRUCTURE) .................................. Trang 6</w:t>
        <w:br/>
        <w:t xml:space="preserve">  2.1 Vấn đề của hạ tầng tài chính toàn cầu tại thị trường Việt Nam ................................. Trang 6</w:t>
        <w:br/>
        <w:t xml:space="preserve">  2.2 Thiết kế Fincore Custom OpenAPI Server (VND-Native) ............................................ Trang 7</w:t>
        <w:br/>
        <w:t xml:space="preserve">  2.3 Phân loại nhóm Endpoint và Nội địa hóa VND ........................................................... Trang 7</w:t>
        <w:br/>
        <w:t xml:space="preserve">  2.4 Sơ đồ kiến trúc và Luồng dữ liệu tổng thể ................................................................ Trang 8</w:t>
        <w:br/>
        <w:t xml:space="preserve">  2.5 Bảo mật &amp; Cơ chế API Key Rotation dự phòng .......................................................... Trang 8</w:t>
        <w:br/>
        <w:t>PHẦN 3: LỘ TRÌNH TĂNG TRƯỞNG THƯƠNG MẠI (COMMERCIAL ROADMAP) ........................... Trang 9</w:t>
        <w:br/>
        <w:t xml:space="preserve">  3.1 Cơ hội quy mô thị trường (TAM) &amp; Lợi thế cạnh tranh (Moat) ................................... Trang 9</w:t>
        <w:br/>
        <w:t xml:space="preserve">  3.2 Mô hình kinh doanh &amp; Kế hoạch doanh thu năm thứ nhất ........................................... Trang 10</w:t>
        <w:br/>
        <w:t xml:space="preserve">  3.3 Lộ trình phát triển 12 tháng &amp; Kế hoạch phân bổ sử dụng vốn ..................................... Trang 10</w:t>
      </w:r>
    </w:p>
    <w:p>
      <w:pPr>
        <w:pStyle w:val="Heading1"/>
      </w:pPr>
      <w:r>
        <w:t>PHẦN MỞ ĐẦU: TÓM TẮT ĐIỀU HÀNH (EXECUTIVE SUMMARY)</w:t>
      </w:r>
    </w:p>
    <w:p>
      <w:r>
        <w:t>Fincore Wallet là dự án ví điện tử thông minh tích hợp trí tuệ nhân tạo (AI) đầu tiên tại Việt Nam nhằm giải quyết triệt để hai rào cản lớn nhất của thị trường tài chính cá nhân nội địa: Một là sự phụ thuộc quá lớn vào lịch sử tín dụng truyền thống (vốn bỏ qua hơn 70% dân số trẻ dưới 30 tuổi chưa đủ điều kiện làm thẻ tín dụng); hai là sự thiếu tương thích của các cổng thanh toán toàn cầu (Plaid, Stripe, Dwolla) đối với cơ chế thanh toán bằng Việt Nam Đồng (VND) và các quy định KYC của Ngân hàng Nhà nước Việt Nam.</w:t>
      </w:r>
    </w:p>
    <w:p>
      <w:r>
        <w:t>Giải pháp của chúng tôi bao gồm hệ thống OpenAPI Server tùy chỉnh tự xây dựng tương thích VND 100% kết hợp với động cơ AI độc quyền. AI của Fincore tự động khai thác dữ liệu hành vi thay thế (Alternative Data) từ mạng xã hội và các hóa đơn dịch vụ công trực tuyến thông qua sự đồng ý của khách hàng, trích xuất ra 15 đặc trưng hành vi và sử dụng mô hình học máy lai (K-Means kết hợp XGBoost Classifier) để xác định khẩu vị rủi ro chính xác theo thời gian thực. Từ kết quả này, thuật toán khớp nối kép (Double-Matching) sẽ đề xuất danh mục đầu tư quỹ mở tối ưu, được thuyết minh bởi Gemini AI. Dự án đặt mục tiêu tham gia UII Incubator / Dr. Ho's Incubator để gọi vốn hạt giống và chuẩn bị thử nghiệm thương mại với các công ty quản lý quỹ hàng đầu Việt Nam.</w:t>
      </w:r>
    </w:p>
    <w:p>
      <w:r>
        <w:br w:type="page"/>
      </w:r>
    </w:p>
    <w:p>
      <w:pPr>
        <w:pStyle w:val="Heading1"/>
      </w:pPr>
      <w:r>
        <w:t>PHẦN 1: PHƯƠNG PHÁP AI ĐỘC QUYỀN (PROPRIETARY AI METHODOLOGIES)</w:t>
      </w:r>
    </w:p>
    <w:p>
      <w:pPr>
        <w:pStyle w:val="Heading2"/>
      </w:pPr>
      <w:r>
        <w:t>1.1 Nguồn dữ liệu hành vi thay thế (Alternative Data Sources)</w:t>
      </w:r>
    </w:p>
    <w:p>
      <w:r>
        <w:t>Điểm khác biệt cốt lõi và là rào cản công nghệ phòng thủ (Data Moat) của Fincore Wallet nằm ở chỗ chúng tôi không đánh giá khách hàng bằng các bảng câu hỏi khảo sát tĩnh (vốn thường mang tính chủ quan và dễ bị làm giả thông tin). Fincore sử dụng nguồn dữ liệu thay thế (Alternative Data) thu thập trực tiếp từ hoạt động số hàng ngày của người dùng, phản ánh một cách khách quan nhất thói quen chi tiêu và tư duy quản lý tài chính thực tế của họ.</w:t>
      </w:r>
    </w:p>
    <w:p>
      <w:r>
        <w:t>Nguồn thứ nhất - Dữ liệu Mạng xã hội: Thông qua giao thức OAuth 2.0 an toàn (với sự đồng ý rõ ràng từ người dùng), Fincore kết nối trực tiếp với Facebook Graph API v19.0 để thu thập các bài viết công khai, lượt thích và chia sẻ. Mô hình Xử lý Ngôn ngữ Tự nhiên (NLP) trên máy chủ AI của chúng tôi sẽ phân tích các bài đăng này để xác định chỉ số cảm xúc (Sentiment Analysis) và phân loại sở thích của người dùng trên 7 lĩnh vực lớn bao gồm: Công nghệ, Giải trí, Kỷ luật bản thân, Sức khỏe, Giáo dục, Khởi nghiệp, Gia đình.</w:t>
      </w:r>
    </w:p>
    <w:p>
      <w:r>
        <w:t>Nguồn thứ hai - Lịch sử hóa đơn tiện ích: Tích hợp giả lập thông qua cổng dịch vụ công NGSP Gateway của Việt Nam, Fincore truy vấn lịch sử thanh toán tiền điện (EVN), nước (SAWACO) và cước viễn thông. Thói quen đóng hóa đơn đúng hạn hay trễ hạn là thước đo thực tế chính xác nhất về nghĩa vụ nợ của một cá nhân.</w:t>
      </w:r>
    </w:p>
    <w:p>
      <w:r>
        <w:t>Nguồn thứ ba - Dữ liệu giao dịch ví nội bộ: Toàn bộ lịch sử nạp, chuyển, rút tiền và thanh toán của ví được lưu trữ trên cơ sở dữ liệu Appwrite DB. Từ đây, AI trích xuất các thông tin về thời gian thực hiện giao dịch (đêm muộn hay giờ hành chính), tốc độ rút tiền khỏi ví sau khi nạp và độ biến động số dư theo tuần để hiểu sâu hơn về hành vi tài chính.</w:t>
      </w:r>
    </w:p>
    <w:p>
      <w:r>
        <w:br w:type="page"/>
      </w:r>
    </w:p>
    <w:p>
      <w:pPr>
        <w:pStyle w:val="Heading2"/>
      </w:pPr>
      <w:r>
        <w:t>1.2 Xây dựng 15 đặc trưng hành vi tài chính (Feature Engineering)</w:t>
      </w:r>
    </w:p>
    <w:p>
      <w:r>
        <w:t>Để các thuật toán học máy có thể xử lý hiệu quả nguồn dữ liệu thô, Fincore thực hiện thiết kế 15 đặc trưng hành vi tài chính độc lập. Các đặc trưng này được chia thành 4 nhóm chỉ báo chính nhằm xây dựng chân dung tài chính toàn diện của người dùng: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0B981"/>
            <w:tcMar>
              <w:top w:w="80" w:type="dxa"/>
              <w:bottom w:w="80" w:type="dxa"/>
              <w:left w:w="100" w:type="dxa"/>
              <w:right w:w="100" w:type="dxa"/>
            </w:tcMar>
          </w:tcPr>
          <w:p>
            <w:r>
              <w:rPr>
                <w:b/>
                <w:color w:val="FFFFFF"/>
                <w:sz w:val="22"/>
              </w:rPr>
              <w:t>Nhóm Đặc trưng</w:t>
            </w:r>
          </w:p>
        </w:tc>
        <w:tc>
          <w:tcPr>
            <w:tcW w:type="dxa" w:w="3120"/>
            <w:shd w:val="clear" w:color="auto" w:fill="10B981"/>
            <w:tcMar>
              <w:top w:w="80" w:type="dxa"/>
              <w:bottom w:w="80" w:type="dxa"/>
              <w:left w:w="100" w:type="dxa"/>
              <w:right w:w="100" w:type="dxa"/>
            </w:tcMar>
          </w:tcPr>
          <w:p>
            <w:r>
              <w:rPr>
                <w:b/>
                <w:color w:val="FFFFFF"/>
                <w:sz w:val="22"/>
              </w:rPr>
              <w:t>Tên Biến Kỹ thuật</w:t>
            </w:r>
          </w:p>
        </w:tc>
        <w:tc>
          <w:tcPr>
            <w:tcW w:type="dxa" w:w="3120"/>
            <w:shd w:val="clear" w:color="auto" w:fill="10B981"/>
            <w:tcMar>
              <w:top w:w="80" w:type="dxa"/>
              <w:bottom w:w="80" w:type="dxa"/>
              <w:left w:w="100" w:type="dxa"/>
              <w:right w:w="100" w:type="dxa"/>
            </w:tcMar>
          </w:tcPr>
          <w:p>
            <w:r>
              <w:rPr>
                <w:b/>
                <w:color w:val="FFFFFF"/>
                <w:sz w:val="22"/>
              </w:rPr>
              <w:t>Giải nghĩa Hành vi &amp; Ý nghĩa Tài chính</w:t>
            </w:r>
          </w:p>
        </w:tc>
      </w:tr>
      <w:tr>
        <w:tc>
          <w:tcPr>
            <w:tcW w:type="dxa" w:w="3120"/>
            <w:tcMar>
              <w:top w:w="60" w:type="dxa"/>
              <w:bottom w:w="60" w:type="dxa"/>
              <w:left w:w="80" w:type="dxa"/>
              <w:right w:w="80" w:type="dxa"/>
            </w:tcMar>
          </w:tcPr>
          <w:p>
            <w:r>
              <w:rPr>
                <w:sz w:val="20"/>
              </w:rPr>
              <w:t>Kỷ luật Tài chính</w:t>
            </w:r>
          </w:p>
        </w:tc>
        <w:tc>
          <w:tcPr>
            <w:tcW w:type="dxa" w:w="3120"/>
            <w:tcMar>
              <w:top w:w="60" w:type="dxa"/>
              <w:bottom w:w="60" w:type="dxa"/>
              <w:left w:w="80" w:type="dxa"/>
              <w:right w:w="80" w:type="dxa"/>
            </w:tcMar>
          </w:tcPr>
          <w:p>
            <w:r>
              <w:rPr>
                <w:sz w:val="20"/>
              </w:rPr>
              <w:t>bill_on_time_ratio</w:t>
              <w:br/>
              <w:t>spend_discipline</w:t>
              <w:br/>
              <w:t>save_after_payday_ratio</w:t>
              <w:br/>
              <w:t>auto_save_completion_rate</w:t>
            </w:r>
          </w:p>
        </w:tc>
        <w:tc>
          <w:tcPr>
            <w:tcW w:type="dxa" w:w="3120"/>
            <w:tcMar>
              <w:top w:w="60" w:type="dxa"/>
              <w:bottom w:w="60" w:type="dxa"/>
              <w:left w:w="80" w:type="dxa"/>
              <w:right w:w="80" w:type="dxa"/>
            </w:tcMar>
          </w:tcPr>
          <w:p>
            <w:r>
              <w:rPr>
                <w:sz w:val="20"/>
              </w:rPr>
              <w:t>Đo lường tỷ lệ thanh toán hóa đơn đúng hạn, chi tiêu thiết yếu trên tổng chi, tiết kiệm lập tức trong 48h sau lương, và tỷ lệ hoàn thành lệnh tích lũy Autopilot.</w:t>
            </w:r>
          </w:p>
        </w:tc>
      </w:tr>
      <w:tr>
        <w:tc>
          <w:tcPr>
            <w:tcW w:type="dxa" w:w="3120"/>
            <w:tcMar>
              <w:top w:w="60" w:type="dxa"/>
              <w:bottom w:w="60" w:type="dxa"/>
              <w:left w:w="80" w:type="dxa"/>
              <w:right w:w="80" w:type="dxa"/>
            </w:tcMar>
          </w:tcPr>
          <w:p>
            <w:r>
              <w:rPr>
                <w:sz w:val="20"/>
              </w:rPr>
              <w:t>Hành vi Bốc đồng</w:t>
            </w:r>
          </w:p>
        </w:tc>
        <w:tc>
          <w:tcPr>
            <w:tcW w:type="dxa" w:w="3120"/>
            <w:tcMar>
              <w:top w:w="60" w:type="dxa"/>
              <w:bottom w:w="60" w:type="dxa"/>
              <w:left w:w="80" w:type="dxa"/>
              <w:right w:w="80" w:type="dxa"/>
            </w:tcMar>
          </w:tcPr>
          <w:p>
            <w:r>
              <w:rPr>
                <w:sz w:val="20"/>
              </w:rPr>
              <w:t>impulse_purchase_index</w:t>
              <w:br/>
              <w:t>late_night_spend_ratio</w:t>
              <w:br/>
              <w:t>immediate_cash_out_rate</w:t>
            </w:r>
          </w:p>
        </w:tc>
        <w:tc>
          <w:tcPr>
            <w:tcW w:type="dxa" w:w="3120"/>
            <w:tcMar>
              <w:top w:w="60" w:type="dxa"/>
              <w:bottom w:w="60" w:type="dxa"/>
              <w:left w:w="80" w:type="dxa"/>
              <w:right w:w="80" w:type="dxa"/>
            </w:tcMar>
          </w:tcPr>
          <w:p>
            <w:r>
              <w:rPr>
                <w:sz w:val="20"/>
              </w:rPr>
              <w:t>Đo lường mua sắm ngoài giờ hành chính (sale đêm), chi tiêu khung giờ 23h-5h sáng (thiếu tỉnh táo), và tỷ lệ rút tiền mặt khẩn cấp ngay sau khi nạp.</w:t>
            </w:r>
          </w:p>
        </w:tc>
      </w:tr>
      <w:tr>
        <w:tc>
          <w:tcPr>
            <w:tcW w:type="dxa" w:w="3120"/>
            <w:tcMar>
              <w:top w:w="60" w:type="dxa"/>
              <w:bottom w:w="60" w:type="dxa"/>
              <w:left w:w="80" w:type="dxa"/>
              <w:right w:w="80" w:type="dxa"/>
            </w:tcMar>
          </w:tcPr>
          <w:p>
            <w:r>
              <w:rPr>
                <w:sz w:val="20"/>
              </w:rPr>
              <w:t>Năng lực Tài chính</w:t>
            </w:r>
          </w:p>
        </w:tc>
        <w:tc>
          <w:tcPr>
            <w:tcW w:type="dxa" w:w="3120"/>
            <w:tcMar>
              <w:top w:w="60" w:type="dxa"/>
              <w:bottom w:w="60" w:type="dxa"/>
              <w:left w:w="80" w:type="dxa"/>
              <w:right w:w="80" w:type="dxa"/>
            </w:tcMar>
          </w:tcPr>
          <w:p>
            <w:r>
              <w:rPr>
                <w:sz w:val="20"/>
              </w:rPr>
              <w:t>income_regularity_index</w:t>
              <w:br/>
              <w:t>liquidity_buffer_ratio</w:t>
              <w:br/>
              <w:t>balance_volatility</w:t>
            </w:r>
          </w:p>
        </w:tc>
        <w:tc>
          <w:tcPr>
            <w:tcW w:type="dxa" w:w="3120"/>
            <w:tcMar>
              <w:top w:w="60" w:type="dxa"/>
              <w:bottom w:w="60" w:type="dxa"/>
              <w:left w:w="80" w:type="dxa"/>
              <w:right w:w="80" w:type="dxa"/>
            </w:tcMar>
          </w:tcPr>
          <w:p>
            <w:r>
              <w:rPr>
                <w:sz w:val="20"/>
              </w:rPr>
              <w:t>Đánh giá mức độ ổn định đều đặn của nguồn thu nhập định kỳ, hệ số ngày duy trì cuộc sống bằng số dư ví, và mức độ biến thiên số dư tài khoản.</w:t>
            </w:r>
          </w:p>
        </w:tc>
      </w:tr>
      <w:tr>
        <w:tc>
          <w:tcPr>
            <w:tcW w:type="dxa" w:w="3120"/>
            <w:tcMar>
              <w:top w:w="60" w:type="dxa"/>
              <w:bottom w:w="60" w:type="dxa"/>
              <w:left w:w="80" w:type="dxa"/>
              <w:right w:w="80" w:type="dxa"/>
            </w:tcMar>
          </w:tcPr>
          <w:p>
            <w:r>
              <w:rPr>
                <w:sz w:val="20"/>
              </w:rPr>
              <w:t>Hành vi Số hóa</w:t>
            </w:r>
          </w:p>
        </w:tc>
        <w:tc>
          <w:tcPr>
            <w:tcW w:type="dxa" w:w="3120"/>
            <w:tcMar>
              <w:top w:w="60" w:type="dxa"/>
              <w:bottom w:w="60" w:type="dxa"/>
              <w:left w:w="80" w:type="dxa"/>
              <w:right w:w="80" w:type="dxa"/>
            </w:tcMar>
          </w:tcPr>
          <w:p>
            <w:r>
              <w:rPr>
                <w:sz w:val="20"/>
              </w:rPr>
              <w:t>social_sentiment</w:t>
              <w:br/>
              <w:t>onboarding_attention_score</w:t>
              <w:br/>
              <w:t>balance_check_frequency</w:t>
              <w:br/>
              <w:t>p2p_network_density</w:t>
              <w:br/>
              <w:t>low_battery_transaction</w:t>
            </w:r>
          </w:p>
        </w:tc>
        <w:tc>
          <w:tcPr>
            <w:tcW w:type="dxa" w:w="3120"/>
            <w:tcMar>
              <w:top w:w="60" w:type="dxa"/>
              <w:bottom w:w="60" w:type="dxa"/>
              <w:left w:w="80" w:type="dxa"/>
              <w:right w:w="80" w:type="dxa"/>
            </w:tcMar>
          </w:tcPr>
          <w:p>
            <w:r>
              <w:rPr>
                <w:sz w:val="20"/>
              </w:rPr>
              <w:t>Chỉ số cảm xúc tích cực trên mạng xã hội, thời gian đọc cảnh báo rủi ro khi onboarding, tần suất check số dư thể hiện lo âu, số lượng đối tác P2P, và giao dịch khi thiết bị pin yếu.</w:t>
            </w:r>
          </w:p>
        </w:tc>
      </w:tr>
    </w:tbl>
    <w:p>
      <w:r>
        <w:br w:type="page"/>
      </w:r>
    </w:p>
    <w:p>
      <w:pPr>
        <w:pStyle w:val="Heading2"/>
      </w:pPr>
      <w:r>
        <w:t>1.3 Học máy lai: Phân cụm K-Means và XGBoost Real-time</w:t>
      </w:r>
    </w:p>
    <w:p>
      <w:r>
        <w:t>Fincore sử dụng hệ thống học máy lai (Hybrid Semi-supervised Learning) giải quyết bài toán khởi động lạnh (Cold Start). Giai đoạn ngoại tuyến (Offline): Dữ liệu giao dịch lịch sử được tiền xử lý qua MinMaxScaler, sau đó thuật toán K-Means (K=3) phân cụm người dùng thành 3 nhóm. Chúng tôi tính toán chỉ số Điểm An toàn (Safety Score = Kỷ luật + Đúng hạn - Bốc đồng) để tự động gán nhãn cho toàn bộ tập dữ liệu thành: Thận trọng, Cân bằng, Mạo hiểm. Giai đoạn trực tuyến (Online): Mô hình XGBoost Classifier được huấn luyện trên nhãn này để dự đoán trực tiếp nhóm khẩu vị rủi ro của người dùng mới dựa trên 15 đặc trưng. Hệ thống tính toán Điểm rủi ro kỳ vọng E(Risk) = P(Thận trọng) * 0.1 + P(Cân bằng) * 0.5 + P(Mạo hiểm) * 0.9.</w:t>
      </w:r>
    </w:p>
    <w:p>
      <w:pPr>
        <w:pStyle w:val="Heading2"/>
      </w:pPr>
      <w:r>
        <w:t>1.4 Thuật toán Khớp nối Động và Trợ lý Agentic AI Gemini</w:t>
      </w:r>
    </w:p>
    <w:p>
      <w:r>
        <w:t>Sử dụng E(Risk) và vector sở thích 7 chiều trích xuất từ mạng xã hội của khách hàng, Fincore áp dụng Thuật toán Khớp nối Kép (Double-Matching Algorithm) để so khớp với DNA vector 7 chiều của các chứng chỉ quỹ mở và mã cổ phiếu có sẵn tại Việt Nam. Độ tương đồng sở thích được xác định qua hàm Cosine Similarity, rồi nhân với điểm rủi ro để đưa ra top 5 sản phẩm đầu tư phù hợp nhất đi kèm tỷ lệ phân bổ tài sản động.</w:t>
      </w:r>
    </w:p>
    <w:p>
      <w:r>
        <w:t>Kết quả phân bổ tài sản sau đó được chuyển làm ngữ cảnh đầu vào cho Gemini 2.5 Flash thông qua mô hình ReAct Agent (Reason-Action Loop). Chatbot được cấu hình 13 công cụ (functions) như kiểm tra số dư, thanh toán hóa đơn, thiết lập Autopilot. Mọi giao dịch thanh toán hoặc đầu tư do chatbot đề xuất đều bắt buộc phải thông qua thẻ xác nhận xác thực (Safety Gates) của người dùng để đảm bảo tính an toàn tối đa.</w:t>
      </w:r>
    </w:p>
    <w:p>
      <w:r>
        <w:br w:type="page"/>
      </w:r>
    </w:p>
    <w:p>
      <w:pPr>
        <w:pStyle w:val="Heading1"/>
      </w:pPr>
      <w:r>
        <w:t>PHẦN 2: KIẾN TRÚC HẠ TẦNG TÙY CHỈNH (CUSTOM INFRASTRUCTURE ARCHITECTURE)</w:t>
      </w:r>
    </w:p>
    <w:p>
      <w:pPr>
        <w:pStyle w:val="Heading2"/>
      </w:pPr>
      <w:r>
        <w:t>2.1 Vấn đề của hạ tầng tài chính toàn cầu tại thị trường Việt Nam</w:t>
      </w:r>
    </w:p>
    <w:p>
      <w:r>
        <w:t>Khi xây dựng các giải pháp FinTech trong nước, các nhà phát triển thường tìm đến những nền tảng hạ tầng tài chính toàn cầu như Plaid (để liên kết ngân hàng), Dwolla (để xử lý bù trừ giao dịch), hoặc Stripe (để thanh toán trực tuyến). Tuy nhiên, các hạ tầng này hoàn toàn thất bại khi áp dụng tại Việt Nam do ba rào cản cố hữu:</w:t>
      </w:r>
    </w:p>
    <w:p>
      <w:pPr>
        <w:ind w:left="720"/>
      </w:pPr>
      <w:r>
        <w:t>1. Không hỗ trợ tiền tệ VND và hệ thống ngân hàng nội địa: Plaid và Dwolla chỉ liên kết qua mạng lưới ngân hàng Mỹ (ACH), không có kết nối với hệ thống NAPAS hay các ngân hàng thương mại Việt Nam. Việc cố gắng quy đổi tỷ giá liên tục gây tổn thất về mặt tài chính và tạo trải nghiệm người dùng rất kém.</w:t>
        <w:br/>
        <w:t>2. Không tương thích quy chuẩn định danh (eKYC): Stripe yêu cầu số an sinh xã hội Mỹ (SSN) hoặc các giấy tờ định danh không áp dụng đối với công dân Việt Nam. Trong khi đó, các quy định quản lý trong nước đòi hỏi định danh bằng số Căn cước công dân 12 số và khớp nối với dữ liệu thuê bao di động quốc gia.</w:t>
        <w:br/>
        <w:t>3. Rủi ro tuân thủ quy định an ninh dữ liệu: Việc lưu trữ dữ liệu tài chính cá nhân của công dân Việt Nam trên các máy chủ đám mây nước ngoài vi phạm nghiêm trọng Luật An ninh mạng và các thông tư quản lý của Ngân hàng Nhà nước Việt Nam về việc bảo vệ chủ quyền dữ liệu quốc gia.</w:t>
      </w:r>
    </w:p>
    <w:p>
      <w:pPr>
        <w:pStyle w:val="Heading2"/>
      </w:pPr>
      <w:r>
        <w:t>2.2 Thiết kế Fincore Custom OpenAPI Server (VND-Native)</w:t>
      </w:r>
    </w:p>
    <w:p>
      <w:r>
        <w:t>Để vượt qua các rào cản trên, Fincore đã tự phát triển một hệ thống OpenAPI Server tùy chỉnh hoàn toàn tương thích với tiền tệ VND. Được xây dựng theo đặc tả OpenAPI 3.0.3, máy chủ API của chúng tôi đóng vai trò là một sổ cái cục bộ (Local Ledger) ghi nhận và quản lý số dư, thực hiện giao dịch ví-ví và ví-ngân hàng nội địa giả lập một cách tức thì, không mất phí. API Server cung cấp tài liệu kỹ thuật Swagger tương tác tại đường dẫn /api-docs giúp các nhà đầu tư và đối tác kiểm thử dễ dàng.</w:t>
      </w:r>
    </w:p>
    <w:p>
      <w:r>
        <w:br w:type="page"/>
      </w:r>
    </w:p>
    <w:p>
      <w:pPr>
        <w:pStyle w:val="Heading2"/>
      </w:pPr>
      <w:r>
        <w:t>2.3 Phân loại nhóm Endpoint và Nội địa hóa VND</w:t>
      </w:r>
    </w:p>
    <w:p>
      <w:r>
        <w:t>Hệ thống API của Fincore được chia thành các nhóm endpoint rõ ràng nhằm hỗ trợ toàn diện vòng đời trải nghiệm của khách hàng. Dưới đây là bảng tổng hợp các nhóm API cốt lõi được cấu hình trực tiếp trên máy chủ của chúng tôi: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0B981"/>
            <w:tcMar>
              <w:top w:w="80" w:type="dxa"/>
              <w:bottom w:w="80" w:type="dxa"/>
              <w:left w:w="100" w:type="dxa"/>
              <w:right w:w="100" w:type="dxa"/>
            </w:tcMar>
          </w:tcPr>
          <w:p>
            <w:r>
              <w:rPr>
                <w:b/>
                <w:color w:val="FFFFFF"/>
                <w:sz w:val="22"/>
              </w:rPr>
              <w:t>Phương thức &amp; Path</w:t>
            </w:r>
          </w:p>
        </w:tc>
        <w:tc>
          <w:tcPr>
            <w:tcW w:type="dxa" w:w="3120"/>
            <w:shd w:val="clear" w:color="auto" w:fill="10B981"/>
            <w:tcMar>
              <w:top w:w="80" w:type="dxa"/>
              <w:bottom w:w="80" w:type="dxa"/>
              <w:left w:w="100" w:type="dxa"/>
              <w:right w:w="100" w:type="dxa"/>
            </w:tcMar>
          </w:tcPr>
          <w:p>
            <w:r>
              <w:rPr>
                <w:b/>
                <w:color w:val="FFFFFF"/>
                <w:sz w:val="22"/>
              </w:rPr>
              <w:t>Nhóm Chức năng</w:t>
            </w:r>
          </w:p>
        </w:tc>
        <w:tc>
          <w:tcPr>
            <w:tcW w:type="dxa" w:w="3120"/>
            <w:shd w:val="clear" w:color="auto" w:fill="10B981"/>
            <w:tcMar>
              <w:top w:w="80" w:type="dxa"/>
              <w:bottom w:w="80" w:type="dxa"/>
              <w:left w:w="100" w:type="dxa"/>
              <w:right w:w="100" w:type="dxa"/>
            </w:tcMar>
          </w:tcPr>
          <w:p>
            <w:r>
              <w:rPr>
                <w:b/>
                <w:color w:val="FFFFFF"/>
                <w:sz w:val="22"/>
              </w:rPr>
              <w:t>Mô tả Chi tiết Tác vụ &amp; Tham số</w:t>
            </w:r>
          </w:p>
        </w:tc>
      </w:tr>
      <w:tr>
        <w:tc>
          <w:tcPr>
            <w:tcW w:type="dxa" w:w="3120"/>
            <w:tcMar>
              <w:top w:w="60" w:type="dxa"/>
              <w:bottom w:w="60" w:type="dxa"/>
              <w:left w:w="80" w:type="dxa"/>
              <w:right w:w="80" w:type="dxa"/>
            </w:tcMar>
          </w:tcPr>
          <w:p>
            <w:r>
              <w:rPr>
                <w:sz w:val="20"/>
              </w:rPr>
              <w:t>POST /api/v1/auth/signup</w:t>
              <w:br/>
              <w:t>POST /api/v1/auth/signin</w:t>
            </w:r>
          </w:p>
        </w:tc>
        <w:tc>
          <w:tcPr>
            <w:tcW w:type="dxa" w:w="3120"/>
            <w:tcMar>
              <w:top w:w="60" w:type="dxa"/>
              <w:bottom w:w="60" w:type="dxa"/>
              <w:left w:w="80" w:type="dxa"/>
              <w:right w:w="80" w:type="dxa"/>
            </w:tcMar>
          </w:tcPr>
          <w:p>
            <w:r>
              <w:rPr>
                <w:sz w:val="20"/>
              </w:rPr>
              <w:t>Xác thực người dùng</w:t>
            </w:r>
          </w:p>
        </w:tc>
        <w:tc>
          <w:tcPr>
            <w:tcW w:type="dxa" w:w="3120"/>
            <w:tcMar>
              <w:top w:w="60" w:type="dxa"/>
              <w:bottom w:w="60" w:type="dxa"/>
              <w:left w:w="80" w:type="dxa"/>
              <w:right w:w="80" w:type="dxa"/>
            </w:tcMar>
          </w:tcPr>
          <w:p>
            <w:r>
              <w:rPr>
                <w:sz w:val="20"/>
              </w:rPr>
              <w:t>Đăng ký tài khoản mới bằng CCCD/SĐT, khởi tạo số dư ví ban đầu và thiết lập phiên đăng nhập.</w:t>
            </w:r>
          </w:p>
        </w:tc>
      </w:tr>
      <w:tr>
        <w:tc>
          <w:tcPr>
            <w:tcW w:type="dxa" w:w="3120"/>
            <w:tcMar>
              <w:top w:w="60" w:type="dxa"/>
              <w:bottom w:w="60" w:type="dxa"/>
              <w:left w:w="80" w:type="dxa"/>
              <w:right w:w="80" w:type="dxa"/>
            </w:tcMar>
          </w:tcPr>
          <w:p>
            <w:r>
              <w:rPr>
                <w:sz w:val="20"/>
              </w:rPr>
              <w:t>GET /api/v1/banks</w:t>
              <w:br/>
              <w:t>POST /api/v1/banks</w:t>
            </w:r>
          </w:p>
        </w:tc>
        <w:tc>
          <w:tcPr>
            <w:tcW w:type="dxa" w:w="3120"/>
            <w:tcMar>
              <w:top w:w="60" w:type="dxa"/>
              <w:bottom w:w="60" w:type="dxa"/>
              <w:left w:w="80" w:type="dxa"/>
              <w:right w:w="80" w:type="dxa"/>
            </w:tcMar>
          </w:tcPr>
          <w:p>
            <w:r>
              <w:rPr>
                <w:sz w:val="20"/>
              </w:rPr>
              <w:t>Ngân hàng nội địa</w:t>
            </w:r>
          </w:p>
        </w:tc>
        <w:tc>
          <w:tcPr>
            <w:tcW w:type="dxa" w:w="3120"/>
            <w:tcMar>
              <w:top w:w="60" w:type="dxa"/>
              <w:bottom w:w="60" w:type="dxa"/>
              <w:left w:w="80" w:type="dxa"/>
              <w:right w:w="80" w:type="dxa"/>
            </w:tcMar>
          </w:tcPr>
          <w:p>
            <w:r>
              <w:rPr>
                <w:sz w:val="20"/>
              </w:rPr>
              <w:t>Truy vấn danh sách ngân hàng Việt Nam đã liên kết và thực hiện liên kết tài khoản ngân hàng mới trực tiếp.</w:t>
            </w:r>
          </w:p>
        </w:tc>
      </w:tr>
      <w:tr>
        <w:tc>
          <w:tcPr>
            <w:tcW w:type="dxa" w:w="3120"/>
            <w:tcMar>
              <w:top w:w="60" w:type="dxa"/>
              <w:bottom w:w="60" w:type="dxa"/>
              <w:left w:w="80" w:type="dxa"/>
              <w:right w:w="80" w:type="dxa"/>
            </w:tcMar>
          </w:tcPr>
          <w:p>
            <w:r>
              <w:rPr>
                <w:sz w:val="20"/>
              </w:rPr>
              <w:t>POST /api/v1/transfers</w:t>
            </w:r>
          </w:p>
        </w:tc>
        <w:tc>
          <w:tcPr>
            <w:tcW w:type="dxa" w:w="3120"/>
            <w:tcMar>
              <w:top w:w="60" w:type="dxa"/>
              <w:bottom w:w="60" w:type="dxa"/>
              <w:left w:w="80" w:type="dxa"/>
              <w:right w:w="80" w:type="dxa"/>
            </w:tcMar>
          </w:tcPr>
          <w:p>
            <w:r>
              <w:rPr>
                <w:sz w:val="20"/>
              </w:rPr>
              <w:t>Giao dịch VND</w:t>
            </w:r>
          </w:p>
        </w:tc>
        <w:tc>
          <w:tcPr>
            <w:tcW w:type="dxa" w:w="3120"/>
            <w:tcMar>
              <w:top w:w="60" w:type="dxa"/>
              <w:bottom w:w="60" w:type="dxa"/>
              <w:left w:w="80" w:type="dxa"/>
              <w:right w:w="80" w:type="dxa"/>
            </w:tcMar>
          </w:tcPr>
          <w:p>
            <w:r>
              <w:rPr>
                <w:sz w:val="20"/>
              </w:rPr>
              <w:t>Thực hiện chuyển tiền ví-ví hoặc ví-ngân hàng liên kết. Tích hợp định dạng tiền tệ vi-VN hiển thị ký hiệu ₫.</w:t>
            </w:r>
          </w:p>
        </w:tc>
      </w:tr>
      <w:tr>
        <w:tc>
          <w:tcPr>
            <w:tcW w:type="dxa" w:w="3120"/>
            <w:tcMar>
              <w:top w:w="60" w:type="dxa"/>
              <w:bottom w:w="60" w:type="dxa"/>
              <w:left w:w="80" w:type="dxa"/>
              <w:right w:w="80" w:type="dxa"/>
            </w:tcMar>
          </w:tcPr>
          <w:p>
            <w:r>
              <w:rPr>
                <w:sz w:val="20"/>
              </w:rPr>
              <w:t>GET /api/v1/automations</w:t>
            </w:r>
          </w:p>
        </w:tc>
        <w:tc>
          <w:tcPr>
            <w:tcW w:type="dxa" w:w="3120"/>
            <w:tcMar>
              <w:top w:w="60" w:type="dxa"/>
              <w:bottom w:w="60" w:type="dxa"/>
              <w:left w:w="80" w:type="dxa"/>
              <w:right w:w="80" w:type="dxa"/>
            </w:tcMar>
          </w:tcPr>
          <w:p>
            <w:r>
              <w:rPr>
                <w:sz w:val="20"/>
              </w:rPr>
              <w:t>Đầu tư Autopilot</w:t>
            </w:r>
          </w:p>
        </w:tc>
        <w:tc>
          <w:tcPr>
            <w:tcW w:type="dxa" w:w="3120"/>
            <w:tcMar>
              <w:top w:w="60" w:type="dxa"/>
              <w:bottom w:w="60" w:type="dxa"/>
              <w:left w:w="80" w:type="dxa"/>
              <w:right w:w="80" w:type="dxa"/>
            </w:tcMar>
          </w:tcPr>
          <w:p>
            <w:r>
              <w:rPr>
                <w:sz w:val="20"/>
              </w:rPr>
              <w:t>Quản lý (truy vấn, tạo mới, sửa đổi, xóa) các quy tắc trích tiền tự động định kỳ để tích lũy chứng chỉ quỹ mở.</w:t>
            </w:r>
          </w:p>
        </w:tc>
      </w:tr>
      <w:tr>
        <w:tc>
          <w:tcPr>
            <w:tcW w:type="dxa" w:w="3120"/>
            <w:tcMar>
              <w:top w:w="60" w:type="dxa"/>
              <w:bottom w:w="60" w:type="dxa"/>
              <w:left w:w="80" w:type="dxa"/>
              <w:right w:w="80" w:type="dxa"/>
            </w:tcMar>
          </w:tcPr>
          <w:p>
            <w:r>
              <w:rPr>
                <w:sz w:val="20"/>
              </w:rPr>
              <w:t>GET /api/v1/alternative-data/risk-appetite</w:t>
            </w:r>
          </w:p>
        </w:tc>
        <w:tc>
          <w:tcPr>
            <w:tcW w:type="dxa" w:w="3120"/>
            <w:tcMar>
              <w:top w:w="60" w:type="dxa"/>
              <w:bottom w:w="60" w:type="dxa"/>
              <w:left w:w="80" w:type="dxa"/>
              <w:right w:w="80" w:type="dxa"/>
            </w:tcMar>
          </w:tcPr>
          <w:p>
            <w:r>
              <w:rPr>
                <w:sz w:val="20"/>
              </w:rPr>
              <w:t>AI Engine</w:t>
            </w:r>
          </w:p>
        </w:tc>
        <w:tc>
          <w:tcPr>
            <w:tcW w:type="dxa" w:w="3120"/>
            <w:tcMar>
              <w:top w:w="60" w:type="dxa"/>
              <w:bottom w:w="60" w:type="dxa"/>
              <w:left w:w="80" w:type="dxa"/>
              <w:right w:w="80" w:type="dxa"/>
            </w:tcMar>
          </w:tcPr>
          <w:p>
            <w:r>
              <w:rPr>
                <w:sz w:val="20"/>
              </w:rPr>
              <w:t>Pipeline gọi mô hình K-Means và XGBoost phân tích đặc trưng hành vi và gợi ý danh mục đầu tư.</w:t>
            </w:r>
          </w:p>
        </w:tc>
      </w:tr>
      <w:tr>
        <w:tc>
          <w:tcPr>
            <w:tcW w:type="dxa" w:w="3120"/>
            <w:tcMar>
              <w:top w:w="60" w:type="dxa"/>
              <w:bottom w:w="60" w:type="dxa"/>
              <w:left w:w="80" w:type="dxa"/>
              <w:right w:w="80" w:type="dxa"/>
            </w:tcMar>
          </w:tcPr>
          <w:p>
            <w:r>
              <w:rPr>
                <w:sz w:val="20"/>
              </w:rPr>
              <w:t>GET /api/v1/external/utility-bills</w:t>
              <w:br/>
              <w:t>GET /api/v1/external/social-posts</w:t>
            </w:r>
          </w:p>
        </w:tc>
        <w:tc>
          <w:tcPr>
            <w:tcW w:type="dxa" w:w="3120"/>
            <w:tcMar>
              <w:top w:w="60" w:type="dxa"/>
              <w:bottom w:w="60" w:type="dxa"/>
              <w:left w:w="80" w:type="dxa"/>
              <w:right w:w="80" w:type="dxa"/>
            </w:tcMar>
          </w:tcPr>
          <w:p>
            <w:r>
              <w:rPr>
                <w:sz w:val="20"/>
              </w:rPr>
              <w:t>Kết nối dữ liệu ngoài</w:t>
            </w:r>
          </w:p>
        </w:tc>
        <w:tc>
          <w:tcPr>
            <w:tcW w:type="dxa" w:w="3120"/>
            <w:tcMar>
              <w:top w:w="60" w:type="dxa"/>
              <w:bottom w:w="60" w:type="dxa"/>
              <w:left w:w="80" w:type="dxa"/>
              <w:right w:w="80" w:type="dxa"/>
            </w:tcMar>
          </w:tcPr>
          <w:p>
            <w:r>
              <w:rPr>
                <w:sz w:val="20"/>
              </w:rPr>
              <w:t>Truy vấn lịch sử hóa đơn dịch vụ công (EVN/SAWACO) và đồng bộ hóa bài đăng mạng xã hội (Facebook Graph API).</w:t>
            </w:r>
          </w:p>
        </w:tc>
      </w:tr>
    </w:tbl>
    <w:p>
      <w:pPr>
        <w:spacing w:before="240"/>
      </w:pPr>
      <w:r>
        <w:t>Nhằm bảo vệ an toàn tài sản của người dùng và sẵn sàng đáp ứng các quy định phòng chống rửa tiền (AML), hệ thống tích hợp sẵn hạn mức giao dịch an toàn (Security limits): Tối đa 50.000.000 ₫ cho mỗi lần chuyển tiền và tổng cộng không quá 100.000.000 ₫ trong vòng 24 giờ. Định dạng tiền tệ được xử lý qua chuẩn locale vi-VN để hiển thị đúng ký hiệu tiền tệ Việt Nam (ví dụ: 10.000.000 ₫).</w:t>
      </w:r>
    </w:p>
    <w:p>
      <w:r>
        <w:br w:type="page"/>
      </w:r>
    </w:p>
    <w:p>
      <w:pPr>
        <w:pStyle w:val="Heading2"/>
      </w:pPr>
      <w:r>
        <w:t>2.4 Sơ đồ kiến trúc và Luồng dữ liệu tổng thể</w:t>
      </w:r>
    </w:p>
    <w:p>
      <w:pPr>
        <w:jc w:val="center"/>
      </w:pPr>
      <w:r>
        <w:rPr>
          <w:rFonts w:ascii="Consolas" w:hAnsi="Consolas"/>
          <w:color w:val="10B981"/>
          <w:sz w:val="19"/>
        </w:rPr>
        <w:t>+---------------------------------------------------------------------+</w:t>
        <w:br/>
        <w:t>|                 FRONTEND - Next.js 14 (App Router)                  |</w:t>
        <w:br/>
        <w:t>|         Giao diện người dùng · Chatbot Window · API Explorer         |</w:t>
        <w:br/>
        <w:t>+----------------------------------+----------------------------------+</w:t>
        <w:br/>
        <w:t xml:space="preserve">                                   | REST API / Server Actions</w:t>
        <w:br/>
        <w:t>+----------------------------------v----------------------------------+</w:t>
        <w:br/>
        <w:t>|               FINCORE CUSTOM OPENAPI SERVER (/api/v1)               |</w:t>
        <w:br/>
        <w:t>|          Express Core · Quản lý Token &amp; Giao dịch Local Ledger      |</w:t>
        <w:br/>
        <w:t>+--------------+---------------------------------------+-------------+</w:t>
        <w:br/>
        <w:t xml:space="preserve">               |                                       |</w:t>
        <w:br/>
        <w:t>+--------------v------------+               +----------v--------------+</w:t>
        <w:br/>
        <w:t>|        Appwrite DB        |               |    FastAPI ML Server    |</w:t>
        <w:br/>
        <w:t>|  (Users, Wallets, Txns)   |               | (K-Means, XGBoost, NLP) |</w:t>
        <w:br/>
        <w:t>+--------------+------------+               +----------+--------------+</w:t>
        <w:br/>
        <w:t xml:space="preserve">               |                                       |</w:t>
        <w:br/>
        <w:t>+--------------v---------------------------------------v--------------+</w:t>
        <w:br/>
        <w:t>|                         External Connectors                         |</w:t>
        <w:br/>
        <w:t>|  Facebook Graph API v19.0 consent  ·  EVN/SAWACO NGSP Portal Gateway|</w:t>
        <w:br/>
        <w:t>|                (Gemini API 8-Key Auto-Rotation)                     |</w:t>
        <w:br/>
        <w:t>+---------------------------------------------------------------------+</w:t>
        <w:br/>
      </w:r>
    </w:p>
    <w:p>
      <w:pPr>
        <w:pStyle w:val="Heading2"/>
      </w:pPr>
      <w:r>
        <w:t>2.5 Bảo mật &amp; Cơ chế API Key Rotation dự phòng</w:t>
      </w:r>
    </w:p>
    <w:p>
      <w:r>
        <w:t>Fincore thiết lập cơ chế an toàn cấp độ doanh nghiệp nhằm bảo vệ hệ thống trước các nguy cơ gián đoạn dịch vụ AI. Hệ thống tích hợp công cụ xoay vòng khóa API (Gemini API Key Rotation) tự động luân chuyển giữa 8 khóa Gemini API khác nhau. Khi một khóa đạt tới hạn mức gọi (Rate limit) hoặc gặp sự cố quá tải, hệ thống tự động phát hiện và chuyển sang khóa tiếp theo trong thời gian chưa tới 50ms, đảm bảo dịch vụ chatbot và robo-advisor hoạt động liên tục 24/7 với Uptime đạt 99.9%.</w:t>
      </w:r>
    </w:p>
    <w:p>
      <w:r>
        <w:t>Bên cạnh đó, việc lựa chọn Appwrite làm nền tảng Backend cho phép Fincore triển khai mô hình tự host (Self-hosted) hoàn toàn trên máy chủ đặt tại Việt Nam. Điều này loại bỏ hoàn toàn sự phụ thuộc vào các bên cung cấp dịch vụ đám mây nước ngoài, giúp Fincore kiểm soát toàn diện luồng dữ liệu của khách hàng, đảm bảo tính bảo mật và tuân thủ Luật An ninh mạng Việt Nam.</w:t>
      </w:r>
    </w:p>
    <w:p>
      <w:r>
        <w:br w:type="page"/>
      </w:r>
    </w:p>
    <w:p>
      <w:pPr>
        <w:pStyle w:val="Heading1"/>
      </w:pPr>
      <w:r>
        <w:t>PHẦN 3: LỘ TRÌNH TĂNG TRƯỞNG THƯƠNG MẠI (COMMERCIAL SCALING ROADMAP)</w:t>
      </w:r>
    </w:p>
    <w:p>
      <w:pPr>
        <w:pStyle w:val="Heading2"/>
      </w:pPr>
      <w:r>
        <w:t>3.1 Cơ hội quy mô thị trường (TAM) &amp; Lợi thế cạnh tranh (Moat)</w:t>
      </w:r>
    </w:p>
    <w:p>
      <w:r>
        <w:t>Theo báo cáo e-Conomy SEA 2025 được công bố bởi Google, Temasek và Bain &amp; Company (nguồn: https://economysea.withgoogle.com), nền kinh tế số của Việt Nam được dự đoán đạt mức tổng giá trị hàng hóa (GMV) khoảng 39 tỷ USD vào năm 2025, với tốc độ tăng trưởng hàng năm đạt 17%. Trong đó, mảng dịch vụ tài chính kỹ thuật số (DFS) đang là động lực tăng trưởng hàng đầu, với tổng giá trị giao dịch thanh toán số dự báo đạt mốc 178 tỷ USD vào năm 2025. Thêm vào đó, số liệu từ Ngân hàng Nhà nước Việt Nam cho thấy tỷ lệ người trưởng thành sở hữu tài khoản ngân hàng đã chạm mốc 87% vào năm 2025, cùng với tỷ lệ thâm nhập điện thoại thông minh đạt trên 84% (theo số liệu thống kê thuê bao năm 2024).</w:t>
      </w:r>
    </w:p>
    <w:p>
      <w:r>
        <w:t>Fincore Wallet định vị khai thác thị trường ngách màu mỡ: Đầu tư cá nhân hóa dựa trên dữ liệu hành vi thay thế, nhắm vào hơn 70% người dùng trẻ tuổi thuộc thế hệ Gen Z và Millennials – những người năng động, sở hữu thiết bị di động nhưng chưa tiếp cận được các sản phẩm quản lý tài sản chuyên nghiệp. Lợi thế cạnh tranh của Fincore nằm ở mô hình chấm điểm AI tự chủ và cơ chế Autopilot đầu tư.</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0B981"/>
            <w:tcMar>
              <w:top w:w="80" w:type="dxa"/>
              <w:bottom w:w="80" w:type="dxa"/>
              <w:left w:w="100" w:type="dxa"/>
              <w:right w:w="100" w:type="dxa"/>
            </w:tcMar>
          </w:tcPr>
          <w:p>
            <w:r>
              <w:rPr>
                <w:b/>
                <w:color w:val="FFFFFF"/>
                <w:sz w:val="22"/>
              </w:rPr>
              <w:t>Tiêu chí So sánh</w:t>
            </w:r>
          </w:p>
        </w:tc>
        <w:tc>
          <w:tcPr>
            <w:tcW w:type="dxa" w:w="2340"/>
            <w:shd w:val="clear" w:color="auto" w:fill="10B981"/>
            <w:tcMar>
              <w:top w:w="80" w:type="dxa"/>
              <w:bottom w:w="80" w:type="dxa"/>
              <w:left w:w="100" w:type="dxa"/>
              <w:right w:w="100" w:type="dxa"/>
            </w:tcMar>
          </w:tcPr>
          <w:p>
            <w:r>
              <w:rPr>
                <w:b/>
                <w:color w:val="FFFFFF"/>
                <w:sz w:val="22"/>
              </w:rPr>
              <w:t>Fincore Wallet</w:t>
            </w:r>
          </w:p>
        </w:tc>
        <w:tc>
          <w:tcPr>
            <w:tcW w:type="dxa" w:w="2340"/>
            <w:shd w:val="clear" w:color="auto" w:fill="10B981"/>
            <w:tcMar>
              <w:top w:w="80" w:type="dxa"/>
              <w:bottom w:w="80" w:type="dxa"/>
              <w:left w:w="100" w:type="dxa"/>
              <w:right w:w="100" w:type="dxa"/>
            </w:tcMar>
          </w:tcPr>
          <w:p>
            <w:r>
              <w:rPr>
                <w:b/>
                <w:color w:val="FFFFFF"/>
                <w:sz w:val="22"/>
              </w:rPr>
              <w:t>MoMo</w:t>
            </w:r>
          </w:p>
        </w:tc>
        <w:tc>
          <w:tcPr>
            <w:tcW w:type="dxa" w:w="2340"/>
            <w:shd w:val="clear" w:color="auto" w:fill="10B981"/>
            <w:tcMar>
              <w:top w:w="80" w:type="dxa"/>
              <w:bottom w:w="80" w:type="dxa"/>
              <w:left w:w="100" w:type="dxa"/>
              <w:right w:w="100" w:type="dxa"/>
            </w:tcMar>
          </w:tcPr>
          <w:p>
            <w:r>
              <w:rPr>
                <w:b/>
                <w:color w:val="FFFFFF"/>
                <w:sz w:val="22"/>
              </w:rPr>
              <w:t>VNPay</w:t>
            </w:r>
          </w:p>
        </w:tc>
      </w:tr>
      <w:tr>
        <w:tc>
          <w:tcPr>
            <w:tcW w:type="dxa" w:w="2340"/>
            <w:tcMar>
              <w:top w:w="60" w:type="dxa"/>
              <w:bottom w:w="60" w:type="dxa"/>
              <w:left w:w="80" w:type="dxa"/>
              <w:right w:w="80" w:type="dxa"/>
            </w:tcMar>
          </w:tcPr>
          <w:p>
            <w:r>
              <w:rPr>
                <w:sz w:val="20"/>
              </w:rPr>
              <w:t>Chấm điểm rủi ro bằng AI</w:t>
            </w:r>
          </w:p>
        </w:tc>
        <w:tc>
          <w:tcPr>
            <w:tcW w:type="dxa" w:w="2340"/>
            <w:tcMar>
              <w:top w:w="60" w:type="dxa"/>
              <w:bottom w:w="60" w:type="dxa"/>
              <w:left w:w="80" w:type="dxa"/>
              <w:right w:w="80" w:type="dxa"/>
            </w:tcMar>
          </w:tcPr>
          <w:p>
            <w:r>
              <w:rPr>
                <w:sz w:val="20"/>
              </w:rPr>
              <w:t>Độc quyền từ dữ liệu thay thế</w:t>
            </w:r>
          </w:p>
        </w:tc>
        <w:tc>
          <w:tcPr>
            <w:tcW w:type="dxa" w:w="2340"/>
            <w:tcMar>
              <w:top w:w="60" w:type="dxa"/>
              <w:bottom w:w="60" w:type="dxa"/>
              <w:left w:w="80" w:type="dxa"/>
              <w:right w:w="80" w:type="dxa"/>
            </w:tcMar>
          </w:tcPr>
          <w:p>
            <w:r>
              <w:rPr>
                <w:sz w:val="20"/>
              </w:rPr>
              <w:t>Không có (chỉ chấm điểm tín dụng ví)</w:t>
            </w:r>
          </w:p>
        </w:tc>
        <w:tc>
          <w:tcPr>
            <w:tcW w:type="dxa" w:w="2340"/>
            <w:tcMar>
              <w:top w:w="60" w:type="dxa"/>
              <w:bottom w:w="60" w:type="dxa"/>
              <w:left w:w="80" w:type="dxa"/>
              <w:right w:w="80" w:type="dxa"/>
            </w:tcMar>
          </w:tcPr>
          <w:p>
            <w:r>
              <w:rPr>
                <w:sz w:val="20"/>
              </w:rPr>
              <w:t>Không có</w:t>
            </w:r>
          </w:p>
        </w:tc>
      </w:tr>
      <w:tr>
        <w:tc>
          <w:tcPr>
            <w:tcW w:type="dxa" w:w="2340"/>
            <w:tcMar>
              <w:top w:w="60" w:type="dxa"/>
              <w:bottom w:w="60" w:type="dxa"/>
              <w:left w:w="80" w:type="dxa"/>
              <w:right w:w="80" w:type="dxa"/>
            </w:tcMar>
          </w:tcPr>
          <w:p>
            <w:r>
              <w:rPr>
                <w:sz w:val="20"/>
              </w:rPr>
              <w:t>Gợi ý đầu tư cá nhân hóa</w:t>
            </w:r>
          </w:p>
        </w:tc>
        <w:tc>
          <w:tcPr>
            <w:tcW w:type="dxa" w:w="2340"/>
            <w:tcMar>
              <w:top w:w="60" w:type="dxa"/>
              <w:bottom w:w="60" w:type="dxa"/>
              <w:left w:w="80" w:type="dxa"/>
              <w:right w:w="80" w:type="dxa"/>
            </w:tcMar>
          </w:tcPr>
          <w:p>
            <w:r>
              <w:rPr>
                <w:sz w:val="20"/>
              </w:rPr>
              <w:t>Cosine Similarity &amp; Gemini Agent</w:t>
            </w:r>
          </w:p>
        </w:tc>
        <w:tc>
          <w:tcPr>
            <w:tcW w:type="dxa" w:w="2340"/>
            <w:tcMar>
              <w:top w:w="60" w:type="dxa"/>
              <w:bottom w:w="60" w:type="dxa"/>
              <w:left w:w="80" w:type="dxa"/>
              <w:right w:w="80" w:type="dxa"/>
            </w:tcMar>
          </w:tcPr>
          <w:p>
            <w:r>
              <w:rPr>
                <w:sz w:val="20"/>
              </w:rPr>
              <w:t>Gợi ý gói quỹ tĩnh theo khẩu vị</w:t>
            </w:r>
          </w:p>
        </w:tc>
        <w:tc>
          <w:tcPr>
            <w:tcW w:type="dxa" w:w="2340"/>
            <w:tcMar>
              <w:top w:w="60" w:type="dxa"/>
              <w:bottom w:w="60" w:type="dxa"/>
              <w:left w:w="80" w:type="dxa"/>
              <w:right w:w="80" w:type="dxa"/>
            </w:tcMar>
          </w:tcPr>
          <w:p>
            <w:r>
              <w:rPr>
                <w:sz w:val="20"/>
              </w:rPr>
              <w:t>Không hỗ trợ</w:t>
            </w:r>
          </w:p>
        </w:tc>
      </w:tr>
      <w:tr>
        <w:tc>
          <w:tcPr>
            <w:tcW w:type="dxa" w:w="2340"/>
            <w:tcMar>
              <w:top w:w="60" w:type="dxa"/>
              <w:bottom w:w="60" w:type="dxa"/>
              <w:left w:w="80" w:type="dxa"/>
              <w:right w:w="80" w:type="dxa"/>
            </w:tcMar>
          </w:tcPr>
          <w:p>
            <w:r>
              <w:rPr>
                <w:sz w:val="20"/>
              </w:rPr>
              <w:t>Đầu tư tự động Autopilot</w:t>
            </w:r>
          </w:p>
        </w:tc>
        <w:tc>
          <w:tcPr>
            <w:tcW w:type="dxa" w:w="2340"/>
            <w:tcMar>
              <w:top w:w="60" w:type="dxa"/>
              <w:bottom w:w="60" w:type="dxa"/>
              <w:left w:w="80" w:type="dxa"/>
              <w:right w:w="80" w:type="dxa"/>
            </w:tcMar>
          </w:tcPr>
          <w:p>
            <w:r>
              <w:rPr>
                <w:sz w:val="20"/>
              </w:rPr>
              <w:t>Cron-based thông minh, an toàn</w:t>
            </w:r>
          </w:p>
        </w:tc>
        <w:tc>
          <w:tcPr>
            <w:tcW w:type="dxa" w:w="2340"/>
            <w:tcMar>
              <w:top w:w="60" w:type="dxa"/>
              <w:bottom w:w="60" w:type="dxa"/>
              <w:left w:w="80" w:type="dxa"/>
              <w:right w:w="80" w:type="dxa"/>
            </w:tcMar>
          </w:tcPr>
          <w:p>
            <w:r>
              <w:rPr>
                <w:sz w:val="20"/>
              </w:rPr>
              <w:t>Trích ví tự động đóng phí, chưa đầu tư</w:t>
            </w:r>
          </w:p>
        </w:tc>
        <w:tc>
          <w:tcPr>
            <w:tcW w:type="dxa" w:w="2340"/>
            <w:tcMar>
              <w:top w:w="60" w:type="dxa"/>
              <w:bottom w:w="60" w:type="dxa"/>
              <w:left w:w="80" w:type="dxa"/>
              <w:right w:w="80" w:type="dxa"/>
            </w:tcMar>
          </w:tcPr>
          <w:p>
            <w:r>
              <w:rPr>
                <w:sz w:val="20"/>
              </w:rPr>
              <w:t>Không hỗ trợ</w:t>
            </w:r>
          </w:p>
        </w:tc>
      </w:tr>
      <w:tr>
        <w:tc>
          <w:tcPr>
            <w:tcW w:type="dxa" w:w="2340"/>
            <w:tcMar>
              <w:top w:w="60" w:type="dxa"/>
              <w:bottom w:w="60" w:type="dxa"/>
              <w:left w:w="80" w:type="dxa"/>
              <w:right w:w="80" w:type="dxa"/>
            </w:tcMar>
          </w:tcPr>
          <w:p>
            <w:r>
              <w:rPr>
                <w:sz w:val="20"/>
              </w:rPr>
              <w:t>Hạ tầng OpenAPI</w:t>
            </w:r>
          </w:p>
        </w:tc>
        <w:tc>
          <w:tcPr>
            <w:tcW w:type="dxa" w:w="2340"/>
            <w:tcMar>
              <w:top w:w="60" w:type="dxa"/>
              <w:bottom w:w="60" w:type="dxa"/>
              <w:left w:w="80" w:type="dxa"/>
              <w:right w:w="80" w:type="dxa"/>
            </w:tcMar>
          </w:tcPr>
          <w:p>
            <w:r>
              <w:rPr>
                <w:sz w:val="20"/>
              </w:rPr>
              <w:t>OpenAPI Spec 3.0.3 tự xây dựng</w:t>
            </w:r>
          </w:p>
        </w:tc>
        <w:tc>
          <w:tcPr>
            <w:tcW w:type="dxa" w:w="2340"/>
            <w:tcMar>
              <w:top w:w="60" w:type="dxa"/>
              <w:bottom w:w="60" w:type="dxa"/>
              <w:left w:w="80" w:type="dxa"/>
              <w:right w:w="80" w:type="dxa"/>
            </w:tcMar>
          </w:tcPr>
          <w:p>
            <w:r>
              <w:rPr>
                <w:sz w:val="20"/>
              </w:rPr>
              <w:t>Hạ tầng liên kết ngân hàng trung gian</w:t>
            </w:r>
          </w:p>
        </w:tc>
        <w:tc>
          <w:tcPr>
            <w:tcW w:type="dxa" w:w="2340"/>
            <w:tcMar>
              <w:top w:w="60" w:type="dxa"/>
              <w:bottom w:w="60" w:type="dxa"/>
              <w:left w:w="80" w:type="dxa"/>
              <w:right w:w="80" w:type="dxa"/>
            </w:tcMar>
          </w:tcPr>
          <w:p>
            <w:r>
              <w:rPr>
                <w:sz w:val="20"/>
              </w:rPr>
              <w:t>Hạ tầng liên kết NAPAS/QR</w:t>
            </w:r>
          </w:p>
        </w:tc>
      </w:tr>
    </w:tbl>
    <w:p>
      <w:r>
        <w:br w:type="page"/>
      </w:r>
    </w:p>
    <w:p>
      <w:pPr>
        <w:pStyle w:val="Heading2"/>
      </w:pPr>
      <w:r>
        <w:t>3.2 Mô hình kinh doanh &amp; Kế hoạch doanh thu năm thứ nhất</w:t>
      </w:r>
    </w:p>
    <w:p>
      <w:r>
        <w:t>Fincore Wallet thiết lập 4 nguồn thu chính giúp đảm bảo dòng tiền lành mạnh mà không cần thu phí người dùng cá nhân:</w:t>
        <w:br/>
        <w:t>1. Phí xử lý thanh toán Merchant: Thu phí từ 1.2% đến 1.5% đối với các cửa hàng, trang thương mại điện tử chấp nhận ví.</w:t>
        <w:br/>
        <w:t>2. Hoa hồng phân phối chứng chỉ quỹ: Nhận từ 0.5% đến 1% hàng năm trên tổng tài sản quản lý (AUM) từ các công ty quản lý quỹ đối tác.</w:t>
        <w:br/>
        <w:t>3. Cấp phép API B2B (Licensing): Cung cấp dịch vụ chấm điểm rủi ro hành vi cho ngân hàng thương mại nhỏ và công ty bảo hiểm.</w:t>
        <w:br/>
        <w:t>4. Gói Premium: Phí thuê bao hàng tháng cho người dùng muốn nhận phân tích tài chính sâu từ Gemini AI.</w:t>
      </w:r>
    </w:p>
    <w:p>
      <w:r>
        <w:t>Ước tính sơ bộ năm thứ nhất: Với mục tiêu đạt 10.000 người dùng hoạt động hàng tháng (MAU), chi tiêu trung bình qua ví đạt 2.000.000 ₫/tháng/MAU, doanh thu từ phí xử lý thanh toán Merchant (ước tính trung bình 1.25%) sẽ mang lại khoảng 250.000.000 ₫/tháng.</w:t>
      </w:r>
    </w:p>
    <w:p>
      <w:pPr>
        <w:pStyle w:val="Heading2"/>
      </w:pPr>
      <w:r>
        <w:t>3.3 Lộ trình phát triển 12 tháng &amp; Kế hoạch phân bổ sử dụng vốn</w:t>
      </w:r>
    </w:p>
    <w:p>
      <w:pPr>
        <w:ind w:left="720"/>
      </w:pPr>
      <w:r>
        <w:t>- Tháng 1-3: Hoàn thiện phiên bản MVP thử nghiệm nội bộ tại vườn ươm UII, thu hút 500 người dùng thử nghiệm đầu tiên (sinh viên các trường đại học lớn) và ký biên bản ghi nhớ (MOU) hợp tác phân phối với các công ty quản lý quỹ liên kết.</w:t>
        <w:br/>
        <w:t>- Tháng 3-6: Ra mắt chính thức tính năng Autopilot tích lũy, hoàn thành kết nối API chính thức với các quỹ đối tác để người dùng thực hiện giao dịch đầu tư thực tế.</w:t>
        <w:br/>
        <w:t>- Tháng 6-12: Chạy chương trình thử nghiệm B2B, cấp phép API chấm điểm hành vi cho 1 ngân hàng thương mại cổ phần quy mô nhỏ tại Việt Nam. Đạt mục tiêu 5.000 MAU.</w:t>
        <w:br/>
        <w:t>- Tháng 12+: Kêu gọi vốn hạt giống vòng tiếp theo, mở rộng quy mô hệ thống sẵn sàng tham gia các chương trình ươm tạo lớn tại Việt Nam và Đông Nam Á.</w:t>
      </w:r>
    </w:p>
    <w:p>
      <w:r>
        <w:t>Kế hoạch phân bổ sử dụng vốn gọi từ Incubator: 40% dành cho Kỹ thuật và R&amp;D AI; 25% cho các chương trình Marketing và thu hút người dùng; 20% cho các thủ tục Pháp lý &amp; Tuân thủ (đăng ký giấy phép cổng thanh toán và tham gia cơ chế sandbox); 15% cho Vận hành và hệ thống máy chủ.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Times New Roman" w:hAnsi="Times New Roman"/>
      <w:b/>
      <w:bCs/>
      <w:color w:val="10B981"/>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