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8786" w14:textId="2F08962F" w:rsidR="006916E2" w:rsidRPr="00113983" w:rsidRDefault="00113983" w:rsidP="0011398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13983">
        <w:rPr>
          <w:rFonts w:ascii="Times New Roman" w:hAnsi="Times New Roman" w:cs="Times New Roman"/>
          <w:b/>
          <w:bCs/>
          <w:sz w:val="30"/>
          <w:szCs w:val="30"/>
        </w:rPr>
        <w:t>ĐỀ CƯƠNG ÔN TẬP KIỂM TRA GIỮA HỌC KỲ II MÔN GDCD LỚP 11</w:t>
      </w:r>
    </w:p>
    <w:tbl>
      <w:tblPr>
        <w:tblpPr w:leftFromText="180" w:rightFromText="180" w:vertAnchor="text" w:tblpXSpec="center" w:tblpY="1"/>
        <w:tblOverlap w:val="never"/>
        <w:tblW w:w="15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05"/>
        <w:gridCol w:w="1572"/>
        <w:gridCol w:w="1863"/>
        <w:gridCol w:w="11165"/>
      </w:tblGrid>
      <w:tr w:rsidR="00113983" w:rsidRPr="00113983" w14:paraId="572C5350" w14:textId="77777777" w:rsidTr="00113983">
        <w:trPr>
          <w:trHeight w:val="354"/>
          <w:tblHeader/>
        </w:trPr>
        <w:tc>
          <w:tcPr>
            <w:tcW w:w="605" w:type="dxa"/>
            <w:vMerge w:val="restart"/>
            <w:vAlign w:val="center"/>
          </w:tcPr>
          <w:p w14:paraId="1A4DBB03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TT</w:t>
            </w:r>
          </w:p>
        </w:tc>
        <w:tc>
          <w:tcPr>
            <w:tcW w:w="1572" w:type="dxa"/>
            <w:vMerge w:val="restart"/>
            <w:vAlign w:val="center"/>
          </w:tcPr>
          <w:p w14:paraId="330C2D05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Nội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dung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kiến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thức</w:t>
            </w:r>
            <w:proofErr w:type="spellEnd"/>
          </w:p>
        </w:tc>
        <w:tc>
          <w:tcPr>
            <w:tcW w:w="1863" w:type="dxa"/>
            <w:vMerge w:val="restart"/>
            <w:shd w:val="clear" w:color="auto" w:fill="auto"/>
            <w:vAlign w:val="center"/>
          </w:tcPr>
          <w:p w14:paraId="7527E4DE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Đơn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vị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kiến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thức</w:t>
            </w:r>
            <w:proofErr w:type="spellEnd"/>
          </w:p>
        </w:tc>
        <w:tc>
          <w:tcPr>
            <w:tcW w:w="11165" w:type="dxa"/>
            <w:vMerge w:val="restart"/>
            <w:vAlign w:val="center"/>
          </w:tcPr>
          <w:p w14:paraId="16840080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Mức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độ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kiến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thức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kĩ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năng</w:t>
            </w:r>
            <w:proofErr w:type="spellEnd"/>
          </w:p>
          <w:p w14:paraId="6113FF0C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cần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kiểm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tra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đánh</w:t>
            </w:r>
            <w:proofErr w:type="spellEnd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sz w:val="20"/>
                <w:highlight w:val="white"/>
              </w:rPr>
              <w:t>giá</w:t>
            </w:r>
            <w:proofErr w:type="spellEnd"/>
          </w:p>
        </w:tc>
      </w:tr>
      <w:tr w:rsidR="00113983" w:rsidRPr="00113983" w14:paraId="78B47596" w14:textId="77777777" w:rsidTr="00113983">
        <w:trPr>
          <w:trHeight w:val="795"/>
          <w:tblHeader/>
        </w:trPr>
        <w:tc>
          <w:tcPr>
            <w:tcW w:w="605" w:type="dxa"/>
            <w:vMerge/>
            <w:vAlign w:val="center"/>
          </w:tcPr>
          <w:p w14:paraId="5A8509BD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</w:p>
        </w:tc>
        <w:tc>
          <w:tcPr>
            <w:tcW w:w="1572" w:type="dxa"/>
            <w:vMerge/>
            <w:vAlign w:val="center"/>
          </w:tcPr>
          <w:p w14:paraId="3CD38428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</w:p>
        </w:tc>
        <w:tc>
          <w:tcPr>
            <w:tcW w:w="1863" w:type="dxa"/>
            <w:vMerge/>
            <w:shd w:val="clear" w:color="auto" w:fill="auto"/>
            <w:vAlign w:val="center"/>
          </w:tcPr>
          <w:p w14:paraId="1981CCF9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</w:p>
        </w:tc>
        <w:tc>
          <w:tcPr>
            <w:tcW w:w="11165" w:type="dxa"/>
            <w:vMerge/>
          </w:tcPr>
          <w:p w14:paraId="23A12927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0"/>
                <w:highlight w:val="white"/>
              </w:rPr>
            </w:pPr>
          </w:p>
        </w:tc>
      </w:tr>
      <w:tr w:rsidR="00113983" w:rsidRPr="00113983" w14:paraId="616B7AE3" w14:textId="77777777" w:rsidTr="00113983">
        <w:trPr>
          <w:trHeight w:val="53"/>
        </w:trPr>
        <w:tc>
          <w:tcPr>
            <w:tcW w:w="605" w:type="dxa"/>
          </w:tcPr>
          <w:p w14:paraId="3E0FF314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</w:rPr>
              <w:t>1</w:t>
            </w:r>
          </w:p>
        </w:tc>
        <w:tc>
          <w:tcPr>
            <w:tcW w:w="1572" w:type="dxa"/>
          </w:tcPr>
          <w:p w14:paraId="04ED1C36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Nhà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nước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xã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hội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nghĩa</w:t>
            </w:r>
            <w:proofErr w:type="spellEnd"/>
          </w:p>
          <w:p w14:paraId="17600435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</w:pPr>
          </w:p>
        </w:tc>
        <w:tc>
          <w:tcPr>
            <w:tcW w:w="1863" w:type="dxa"/>
            <w:shd w:val="clear" w:color="auto" w:fill="auto"/>
          </w:tcPr>
          <w:p w14:paraId="598E2EC2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1.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Nhà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nước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xã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hội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nghĩa</w:t>
            </w:r>
            <w:proofErr w:type="spellEnd"/>
          </w:p>
        </w:tc>
        <w:tc>
          <w:tcPr>
            <w:tcW w:w="11165" w:type="dxa"/>
            <w:vAlign w:val="center"/>
          </w:tcPr>
          <w:p w14:paraId="3EA4A996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Nhận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biết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4E0AA28D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sz w:val="24"/>
                <w:szCs w:val="26"/>
                <w:highlight w:val="white"/>
                <w:lang w:val="vi-VN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- T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  <w:lang w:val="vi-VN"/>
              </w:rPr>
              <w:t>hế nào là nhà nước pháp quyền xã hội chủ nghĩa Việt Nam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.</w:t>
            </w:r>
          </w:p>
          <w:p w14:paraId="090AEADF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- B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  <w:lang w:val="vi-VN"/>
              </w:rPr>
              <w:t>ản chất, chức năng của Nhà nước pháp quyền xã hội chủ nghĩa Việt Nam.</w:t>
            </w:r>
          </w:p>
          <w:p w14:paraId="02E112DB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Thông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hiểu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0F9D049F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Hiểu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  <w:lang w:val="vi-VN"/>
              </w:rPr>
              <w:t xml:space="preserve">được 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  <w:lang w:val="vi-VN"/>
              </w:rPr>
              <w:t xml:space="preserve">rách nhiệm của mỗi công dân trong việc tham gia xây dựng 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  <w:lang w:val="vi-VN"/>
              </w:rPr>
              <w:t>hà nước pháp quyền xã hội chủ nghĩa.</w:t>
            </w:r>
          </w:p>
          <w:p w14:paraId="15C70FEC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10BA9825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kiến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thức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đã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học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để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tham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xây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dựng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Nhà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nước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pháp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quyền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xã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hội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nghĩa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phù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hợp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với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lứa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tuổi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điều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.</w:t>
            </w:r>
          </w:p>
        </w:tc>
      </w:tr>
      <w:tr w:rsidR="00113983" w:rsidRPr="00113983" w14:paraId="06F0A8D7" w14:textId="77777777" w:rsidTr="00113983">
        <w:trPr>
          <w:trHeight w:val="1010"/>
        </w:trPr>
        <w:tc>
          <w:tcPr>
            <w:tcW w:w="605" w:type="dxa"/>
            <w:vAlign w:val="center"/>
          </w:tcPr>
          <w:p w14:paraId="73564030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</w:rPr>
              <w:t>2</w:t>
            </w:r>
          </w:p>
        </w:tc>
        <w:tc>
          <w:tcPr>
            <w:tcW w:w="1572" w:type="dxa"/>
            <w:vAlign w:val="center"/>
          </w:tcPr>
          <w:p w14:paraId="4EE95697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  <w:lang w:val="vi-VN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Nền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xã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hội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nghĩa</w:t>
            </w:r>
            <w:proofErr w:type="spellEnd"/>
          </w:p>
        </w:tc>
        <w:tc>
          <w:tcPr>
            <w:tcW w:w="1863" w:type="dxa"/>
            <w:shd w:val="clear" w:color="auto" w:fill="auto"/>
            <w:vAlign w:val="center"/>
          </w:tcPr>
          <w:p w14:paraId="68ABC116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2.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Nền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xã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hội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nghĩa</w:t>
            </w:r>
            <w:proofErr w:type="spellEnd"/>
          </w:p>
        </w:tc>
        <w:tc>
          <w:tcPr>
            <w:tcW w:w="11165" w:type="dxa"/>
          </w:tcPr>
          <w:p w14:paraId="201B47DB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Nhận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biết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51A04E63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- B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  <w:lang w:val="vi-VN"/>
              </w:rPr>
              <w:t>ản chất của nền dân chủ xã hội chủ nghĩa</w:t>
            </w: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. </w:t>
            </w:r>
          </w:p>
          <w:p w14:paraId="0DEBFDCA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Hai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hình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thức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cơ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.</w:t>
            </w:r>
          </w:p>
          <w:p w14:paraId="3173EF59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Thông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hiểu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:</w:t>
            </w:r>
          </w:p>
          <w:p w14:paraId="47B1EF51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Hiểu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được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quyền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làm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phù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hợp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với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lứa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tuổi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. </w:t>
            </w:r>
          </w:p>
          <w:p w14:paraId="1036C2EE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1FE0E966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kiến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thức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đã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học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để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tham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các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hoạt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động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thể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phù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hợp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với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lứa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tuổi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.</w:t>
            </w:r>
          </w:p>
          <w:p w14:paraId="1266A5BB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Phê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phán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các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hành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vi,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luận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điệu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xuyên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tạc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chống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lại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nền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chủ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XHCN.</w:t>
            </w:r>
          </w:p>
        </w:tc>
      </w:tr>
      <w:tr w:rsidR="00113983" w:rsidRPr="00113983" w14:paraId="6FB35C06" w14:textId="77777777" w:rsidTr="00113983">
        <w:trPr>
          <w:trHeight w:val="700"/>
        </w:trPr>
        <w:tc>
          <w:tcPr>
            <w:tcW w:w="605" w:type="dxa"/>
            <w:vAlign w:val="center"/>
          </w:tcPr>
          <w:p w14:paraId="5989F288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</w:rPr>
              <w:lastRenderedPageBreak/>
              <w:t>3</w:t>
            </w:r>
          </w:p>
        </w:tc>
        <w:tc>
          <w:tcPr>
            <w:tcW w:w="1572" w:type="dxa"/>
            <w:vAlign w:val="center"/>
          </w:tcPr>
          <w:p w14:paraId="1C2A2E9D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  <w:lang w:val="vi-VN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số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giải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quyết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làm</w:t>
            </w:r>
            <w:proofErr w:type="spellEnd"/>
          </w:p>
        </w:tc>
        <w:tc>
          <w:tcPr>
            <w:tcW w:w="1863" w:type="dxa"/>
            <w:shd w:val="clear" w:color="auto" w:fill="auto"/>
            <w:vAlign w:val="center"/>
          </w:tcPr>
          <w:p w14:paraId="194B0365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3.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số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giải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quyết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làm</w:t>
            </w:r>
            <w:proofErr w:type="spellEnd"/>
          </w:p>
        </w:tc>
        <w:tc>
          <w:tcPr>
            <w:tcW w:w="11165" w:type="dxa"/>
          </w:tcPr>
          <w:p w14:paraId="6DCE02AB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Nhận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biết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1349572E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Tình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hình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phát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triển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số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phương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hướng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cơ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số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ở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nước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ta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nay. </w:t>
            </w:r>
          </w:p>
          <w:p w14:paraId="7FA23954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Tình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hình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làm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phương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hướng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cơ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giải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quyết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làm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ở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Việt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Nam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nay.</w:t>
            </w:r>
          </w:p>
          <w:p w14:paraId="0D7E3F82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Thông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hiểu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3F571899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Hiểu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được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nhiệm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công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trong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số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giải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quyết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làm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Nhà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nước</w:t>
            </w:r>
            <w:proofErr w:type="spellEnd"/>
          </w:p>
          <w:p w14:paraId="0B576C2B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33DD6525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Tham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truyền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số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giải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quyết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làm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vào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tiễn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cuộc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sống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phù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hợp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với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khả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năng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.</w:t>
            </w:r>
          </w:p>
          <w:p w14:paraId="4F7E06C5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cao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30D6949A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kiến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thức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đã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học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để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đánh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giá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số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đình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cộng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đồng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cư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.</w:t>
            </w:r>
          </w:p>
          <w:p w14:paraId="330F940A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kiến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thức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đã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học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để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đánh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giá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giải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quyết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làm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ở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địa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phương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phù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hợp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với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lứa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tuổi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.</w:t>
            </w:r>
          </w:p>
          <w:p w14:paraId="77AF1108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Định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hướng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được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nghề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nghiệp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trong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tương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lai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. </w:t>
            </w:r>
          </w:p>
          <w:p w14:paraId="122D521A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đối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đấu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tranh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với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các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hành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vi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gây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hại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cho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tài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môi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trường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.</w:t>
            </w:r>
          </w:p>
        </w:tc>
      </w:tr>
      <w:tr w:rsidR="00113983" w:rsidRPr="00113983" w14:paraId="37C1CD63" w14:textId="77777777" w:rsidTr="00113983">
        <w:trPr>
          <w:trHeight w:val="1129"/>
        </w:trPr>
        <w:tc>
          <w:tcPr>
            <w:tcW w:w="605" w:type="dxa"/>
            <w:vAlign w:val="center"/>
          </w:tcPr>
          <w:p w14:paraId="4EDE554E" w14:textId="77777777" w:rsidR="00113983" w:rsidRPr="00113983" w:rsidRDefault="00113983" w:rsidP="00113983">
            <w:pPr>
              <w:spacing w:before="60" w:after="2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sz w:val="24"/>
                <w:szCs w:val="26"/>
                <w:highlight w:val="white"/>
              </w:rPr>
              <w:t>4</w:t>
            </w:r>
          </w:p>
        </w:tc>
        <w:tc>
          <w:tcPr>
            <w:tcW w:w="1572" w:type="dxa"/>
            <w:vAlign w:val="center"/>
          </w:tcPr>
          <w:p w14:paraId="427B6661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tài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nguyên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bảo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vệ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môi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trường</w:t>
            </w:r>
            <w:proofErr w:type="spellEnd"/>
          </w:p>
        </w:tc>
        <w:tc>
          <w:tcPr>
            <w:tcW w:w="1863" w:type="dxa"/>
            <w:shd w:val="clear" w:color="auto" w:fill="auto"/>
            <w:vAlign w:val="center"/>
          </w:tcPr>
          <w:p w14:paraId="1313774D" w14:textId="77777777" w:rsidR="00113983" w:rsidRPr="00113983" w:rsidRDefault="00113983" w:rsidP="00113983">
            <w:pPr>
              <w:spacing w:before="60" w:after="20" w:line="300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4.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tài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nguyên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bảo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vệ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môi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trường</w:t>
            </w:r>
            <w:proofErr w:type="spellEnd"/>
          </w:p>
        </w:tc>
        <w:tc>
          <w:tcPr>
            <w:tcW w:w="11165" w:type="dxa"/>
          </w:tcPr>
          <w:p w14:paraId="6CD47333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Nhận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biết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:</w:t>
            </w:r>
            <w:proofErr w:type="gramEnd"/>
          </w:p>
          <w:p w14:paraId="2D546E81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trạng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tài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môi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trường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. </w:t>
            </w:r>
          </w:p>
          <w:p w14:paraId="1B2011D3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Phương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hướng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pháp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cơ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nhằm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bảo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vệ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tài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môi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trường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ở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nước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ta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nay. </w:t>
            </w:r>
          </w:p>
          <w:p w14:paraId="38587FA7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Thông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hiểu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362605C1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lastRenderedPageBreak/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Hiểu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được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nhiệm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công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trong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việc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tài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bảo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vệ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môi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trường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Nhà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nước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. </w:t>
            </w:r>
          </w:p>
          <w:p w14:paraId="6BB7A004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7E82B0A9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truyền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tài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bảo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vệ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môi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trường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vào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tiễn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cuộc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sống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phù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hợp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với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khả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năng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. </w:t>
            </w:r>
          </w:p>
          <w:p w14:paraId="76C0434B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dụngcao</w:t>
            </w:r>
            <w:proofErr w:type="spellEnd"/>
            <w:r w:rsidRPr="00113983">
              <w:rPr>
                <w:rFonts w:ascii="Times New Roman" w:hAnsi="Times New Roman" w:cs="Times New Roman"/>
                <w:b/>
                <w:bCs/>
                <w:sz w:val="24"/>
                <w:szCs w:val="26"/>
                <w:highlight w:val="white"/>
              </w:rPr>
              <w:t>:</w:t>
            </w:r>
          </w:p>
          <w:p w14:paraId="48E296D9" w14:textId="77777777" w:rsidR="00113983" w:rsidRPr="00113983" w:rsidRDefault="00113983" w:rsidP="00113983">
            <w:pPr>
              <w:spacing w:before="60" w:after="20" w:line="300" w:lineRule="auto"/>
              <w:jc w:val="both"/>
              <w:rPr>
                <w:rFonts w:ascii="Times New Roman" w:hAnsi="Times New Roman" w:cs="Times New Roman"/>
                <w:sz w:val="24"/>
                <w:szCs w:val="26"/>
                <w:highlight w:val="white"/>
              </w:rPr>
            </w:pPr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-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Vận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dụng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kiến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thức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đã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học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để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đánh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giá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thái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độ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hành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vi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thân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và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của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người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khác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trong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thực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hiện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chính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sách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tài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nguyên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,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bảo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vệ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môi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 </w:t>
            </w:r>
            <w:proofErr w:type="spellStart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>trường</w:t>
            </w:r>
            <w:proofErr w:type="spellEnd"/>
            <w:r w:rsidRPr="00113983">
              <w:rPr>
                <w:rFonts w:ascii="Times New Roman" w:hAnsi="Times New Roman" w:cs="Times New Roman"/>
                <w:sz w:val="24"/>
                <w:szCs w:val="26"/>
                <w:highlight w:val="white"/>
              </w:rPr>
              <w:t xml:space="preserve">. </w:t>
            </w:r>
          </w:p>
        </w:tc>
      </w:tr>
    </w:tbl>
    <w:p w14:paraId="7776586C" w14:textId="77777777" w:rsidR="00113983" w:rsidRDefault="00113983"/>
    <w:sectPr w:rsidR="00113983" w:rsidSect="0011398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83"/>
    <w:rsid w:val="00014BB6"/>
    <w:rsid w:val="00113983"/>
    <w:rsid w:val="0069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33B"/>
  <w15:chartTrackingRefBased/>
  <w15:docId w15:val="{45BEB8BE-8639-4ADD-AEDF-7C72391A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Kim Oanh</dc:creator>
  <cp:keywords/>
  <dc:description/>
  <cp:lastModifiedBy>Nguyễn Thị Kim Oanh</cp:lastModifiedBy>
  <cp:revision>1</cp:revision>
  <dcterms:created xsi:type="dcterms:W3CDTF">2022-03-13T12:50:00Z</dcterms:created>
  <dcterms:modified xsi:type="dcterms:W3CDTF">2022-03-13T13:00:00Z</dcterms:modified>
</cp:coreProperties>
</file>