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E1B27">
      <w:pPr>
        <w:spacing w:after="0"/>
      </w:pPr>
    </w:p>
    <w:p w14:paraId="74C15F24">
      <w:pPr>
        <w:spacing w:after="0"/>
      </w:pPr>
    </w:p>
    <w:p w14:paraId="33E0397C">
      <w:pPr>
        <w:spacing w:after="0"/>
      </w:pPr>
    </w:p>
    <w:p w14:paraId="7FE8E904">
      <w:pPr>
        <w:spacing w:after="0"/>
      </w:pPr>
    </w:p>
    <w:p w14:paraId="54901B69">
      <w:pPr>
        <w:spacing w:after="0"/>
      </w:pPr>
    </w:p>
    <w:p w14:paraId="48E5BA85">
      <w:pPr>
        <w:spacing w:after="0"/>
      </w:pPr>
    </w:p>
    <w:p w14:paraId="79A533CC">
      <w:pPr>
        <w:spacing w:after="120" w:line="480" w:lineRule="auto"/>
        <w:jc w:val="center"/>
      </w:pPr>
      <w:r>
        <w:rPr>
          <w:rFonts w:ascii="黑体" w:hAnsi="黑体" w:eastAsia="黑体" w:cs="黑体"/>
          <w:b/>
          <w:bCs/>
          <w:sz w:val="44"/>
          <w:szCs w:val="44"/>
        </w:rPr>
        <w:t>APEC视域下江岭社区客家文化</w:t>
      </w:r>
    </w:p>
    <w:p w14:paraId="1CFBBF71">
      <w:pPr>
        <w:spacing w:after="360" w:line="480" w:lineRule="auto"/>
        <w:jc w:val="center"/>
      </w:pPr>
      <w:r>
        <w:rPr>
          <w:rFonts w:ascii="黑体" w:hAnsi="黑体" w:eastAsia="黑体" w:cs="黑体"/>
          <w:b/>
          <w:bCs/>
          <w:sz w:val="44"/>
          <w:szCs w:val="44"/>
        </w:rPr>
        <w:t>双语传播三下乡实践报告</w:t>
      </w:r>
    </w:p>
    <w:p w14:paraId="6876C312">
      <w:pPr>
        <w:spacing w:after="0"/>
      </w:pPr>
    </w:p>
    <w:p w14:paraId="6C7BB8D4">
      <w:pPr>
        <w:spacing w:after="0"/>
      </w:pPr>
    </w:p>
    <w:p w14:paraId="467E3B64">
      <w:pPr>
        <w:spacing w:after="120" w:line="360" w:lineRule="auto"/>
        <w:jc w:val="center"/>
      </w:pPr>
      <w:r>
        <w:rPr>
          <w:rFonts w:ascii="宋体" w:hAnsi="宋体" w:eastAsia="宋体" w:cs="宋体"/>
          <w:b/>
          <w:bCs/>
          <w:sz w:val="28"/>
          <w:szCs w:val="28"/>
        </w:rPr>
        <w:t>实践团队：</w:t>
      </w:r>
      <w:r>
        <w:rPr>
          <w:rFonts w:ascii="宋体" w:hAnsi="宋体" w:eastAsia="宋体" w:cs="宋体"/>
          <w:sz w:val="28"/>
          <w:szCs w:val="28"/>
        </w:rPr>
        <w:t>深圳技术大学外国语学院融梦双语同行队</w:t>
      </w:r>
    </w:p>
    <w:p w14:paraId="33ECBAB4">
      <w:pPr>
        <w:spacing w:after="120" w:line="360" w:lineRule="auto"/>
        <w:jc w:val="center"/>
      </w:pPr>
      <w:r>
        <w:rPr>
          <w:rFonts w:ascii="宋体" w:hAnsi="宋体" w:eastAsia="宋体" w:cs="宋体"/>
          <w:b/>
          <w:bCs/>
          <w:sz w:val="28"/>
          <w:szCs w:val="28"/>
        </w:rPr>
        <w:t>实践时间：</w:t>
      </w:r>
      <w:r>
        <w:rPr>
          <w:rFonts w:ascii="宋体" w:hAnsi="宋体" w:eastAsia="宋体" w:cs="宋体"/>
          <w:sz w:val="28"/>
          <w:szCs w:val="28"/>
        </w:rPr>
        <w:t>2026年7月4日—7月10日</w:t>
      </w:r>
    </w:p>
    <w:p w14:paraId="22E88FCD">
      <w:pPr>
        <w:spacing w:after="120" w:line="360" w:lineRule="auto"/>
        <w:jc w:val="center"/>
      </w:pPr>
      <w:r>
        <w:rPr>
          <w:rFonts w:ascii="宋体" w:hAnsi="宋体" w:eastAsia="宋体" w:cs="宋体"/>
          <w:b/>
          <w:bCs/>
          <w:sz w:val="28"/>
          <w:szCs w:val="28"/>
        </w:rPr>
        <w:t>实践地点：</w:t>
      </w:r>
      <w:r>
        <w:rPr>
          <w:rFonts w:ascii="宋体" w:hAnsi="宋体" w:eastAsia="宋体" w:cs="宋体"/>
          <w:sz w:val="28"/>
          <w:szCs w:val="28"/>
        </w:rPr>
        <w:t>深圳市坪山区马峦街道江岭社区</w:t>
      </w:r>
    </w:p>
    <w:p w14:paraId="24FBF452">
      <w:pPr>
        <w:sectPr>
          <w:pgSz w:w="11906" w:h="16838"/>
          <w:pgMar w:top="1440" w:right="1134" w:bottom="1440" w:left="1134" w:header="708" w:footer="708" w:gutter="0"/>
          <w:cols w:space="720" w:num="1"/>
          <w:docGrid w:linePitch="360" w:charSpace="0"/>
        </w:sectPr>
      </w:pPr>
    </w:p>
    <w:p w14:paraId="412107B8">
      <w:pPr>
        <w:spacing w:after="360" w:line="360" w:lineRule="auto"/>
        <w:jc w:val="center"/>
      </w:pPr>
      <w:r>
        <w:rPr>
          <w:rFonts w:ascii="黑体" w:hAnsi="黑体" w:eastAsia="黑体" w:cs="黑体"/>
          <w:b/>
          <w:bCs/>
          <w:sz w:val="32"/>
          <w:szCs w:val="32"/>
        </w:rPr>
        <w:t>目  录</w:t>
      </w:r>
    </w:p>
    <w:sdt>
      <w:sdtPr>
        <w:rPr>
          <w:sz w:val="36"/>
          <w:szCs w:val="36"/>
        </w:rPr>
        <w:alias w:val="目录"/>
        <w:id w:val="147461726"/>
      </w:sdtPr>
      <w:sdtEndPr>
        <w:rPr>
          <w:sz w:val="36"/>
          <w:szCs w:val="36"/>
        </w:rPr>
      </w:sdtEndPr>
      <w:sdtContent>
        <w:p w14:paraId="0DEBEFF4">
          <w:pPr>
            <w:rPr>
              <w:sz w:val="36"/>
              <w:szCs w:val="36"/>
            </w:rPr>
          </w:pPr>
        </w:p>
        <w:p w14:paraId="420115FA">
          <w:pPr>
            <w:rPr>
              <w:sz w:val="30"/>
              <w:szCs w:val="30"/>
            </w:rPr>
          </w:pPr>
        </w:p>
        <w:p w14:paraId="04C39E0A">
          <w:pPr>
            <w:rPr>
              <w:sz w:val="30"/>
              <w:szCs w:val="30"/>
            </w:rPr>
          </w:pPr>
          <w:r>
            <w:rPr>
              <w:sz w:val="30"/>
              <w:szCs w:val="30"/>
            </w:rPr>
            <w:fldChar w:fldCharType="begin"/>
          </w:r>
          <w:r>
            <w:rPr>
              <w:sz w:val="30"/>
              <w:szCs w:val="30"/>
            </w:rPr>
            <w:instrText xml:space="preserve">TOC \h \o "1-3"</w:instrText>
          </w:r>
          <w:r>
            <w:rPr>
              <w:sz w:val="30"/>
              <w:szCs w:val="30"/>
            </w:rPr>
            <w:fldChar w:fldCharType="separate"/>
          </w:r>
        </w:p>
        <w:p w14:paraId="0A119EBF">
          <w:pPr>
            <w:rPr>
              <w:rFonts w:hint="eastAsia" w:ascii="黑体" w:hAnsi="黑体" w:eastAsia="黑体" w:cs="黑体"/>
              <w:b/>
              <w:bCs/>
              <w:sz w:val="30"/>
              <w:szCs w:val="30"/>
            </w:rPr>
          </w:pPr>
          <w:r>
            <w:rPr>
              <w:sz w:val="30"/>
              <w:szCs w:val="30"/>
            </w:rPr>
            <w:fldChar w:fldCharType="end"/>
          </w:r>
          <w:r>
            <w:rPr>
              <w:rFonts w:hint="eastAsia" w:ascii="黑体" w:hAnsi="黑体" w:eastAsia="黑体" w:cs="黑体"/>
              <w:b/>
              <w:bCs/>
              <w:sz w:val="30"/>
              <w:szCs w:val="30"/>
            </w:rPr>
            <w:t>一、实践背景与调研目的</w:t>
          </w:r>
        </w:p>
        <w:p w14:paraId="206ECEEE">
          <w:pPr>
            <w:rPr>
              <w:rFonts w:hint="eastAsia" w:ascii="黑体" w:hAnsi="黑体" w:eastAsia="黑体" w:cs="黑体"/>
              <w:b/>
              <w:bCs/>
              <w:sz w:val="30"/>
              <w:szCs w:val="30"/>
            </w:rPr>
          </w:pPr>
        </w:p>
        <w:p w14:paraId="37E678F2">
          <w:pPr>
            <w:rPr>
              <w:rFonts w:hint="eastAsia" w:ascii="黑体" w:hAnsi="黑体" w:eastAsia="黑体" w:cs="黑体"/>
              <w:b/>
              <w:bCs/>
              <w:sz w:val="30"/>
              <w:szCs w:val="30"/>
            </w:rPr>
          </w:pPr>
        </w:p>
        <w:p w14:paraId="15D23A25">
          <w:pPr>
            <w:numPr>
              <w:ilvl w:val="0"/>
              <w:numId w:val="1"/>
            </w:numPr>
            <w:rPr>
              <w:rFonts w:hint="eastAsia" w:ascii="黑体" w:hAnsi="黑体" w:eastAsia="黑体" w:cs="黑体"/>
              <w:b/>
              <w:bCs/>
              <w:sz w:val="30"/>
              <w:szCs w:val="30"/>
            </w:rPr>
          </w:pPr>
          <w:r>
            <w:rPr>
              <w:rFonts w:hint="eastAsia" w:ascii="黑体" w:hAnsi="黑体" w:eastAsia="黑体" w:cs="黑体"/>
              <w:b/>
              <w:bCs/>
              <w:sz w:val="30"/>
              <w:szCs w:val="30"/>
            </w:rPr>
            <w:t>江岭社区客家文旅双语传播现状及现存问题</w:t>
          </w:r>
        </w:p>
        <w:p w14:paraId="5B08EC9A">
          <w:pPr>
            <w:numPr>
              <w:ilvl w:val="0"/>
              <w:numId w:val="0"/>
            </w:numPr>
            <w:rPr>
              <w:rFonts w:hint="eastAsia" w:ascii="黑体" w:hAnsi="黑体" w:eastAsia="黑体" w:cs="黑体"/>
              <w:b/>
              <w:bCs/>
              <w:sz w:val="30"/>
              <w:szCs w:val="30"/>
            </w:rPr>
          </w:pPr>
        </w:p>
        <w:p w14:paraId="43A2ABEF">
          <w:pPr>
            <w:numPr>
              <w:ilvl w:val="0"/>
              <w:numId w:val="0"/>
            </w:numPr>
            <w:rPr>
              <w:rFonts w:hint="eastAsia" w:ascii="黑体" w:hAnsi="黑体" w:eastAsia="黑体" w:cs="黑体"/>
              <w:b/>
              <w:bCs/>
              <w:sz w:val="30"/>
              <w:szCs w:val="30"/>
            </w:rPr>
          </w:pPr>
        </w:p>
        <w:p w14:paraId="15FA7E7F">
          <w:pPr>
            <w:numPr>
              <w:ilvl w:val="0"/>
              <w:numId w:val="1"/>
            </w:numPr>
            <w:ind w:left="0" w:leftChars="0" w:firstLine="0" w:firstLineChars="0"/>
            <w:rPr>
              <w:rFonts w:hint="eastAsia" w:ascii="黑体" w:hAnsi="黑体" w:eastAsia="黑体" w:cs="黑体"/>
              <w:b/>
              <w:bCs/>
              <w:sz w:val="30"/>
              <w:szCs w:val="30"/>
            </w:rPr>
          </w:pPr>
          <w:r>
            <w:rPr>
              <w:rFonts w:hint="eastAsia" w:ascii="黑体" w:hAnsi="黑体" w:eastAsia="黑体" w:cs="黑体"/>
              <w:b/>
              <w:bCs/>
              <w:sz w:val="30"/>
              <w:szCs w:val="30"/>
            </w:rPr>
            <w:t>本次三下乡实践落地核心成果</w:t>
          </w:r>
        </w:p>
        <w:p w14:paraId="4850BF55">
          <w:pPr>
            <w:numPr>
              <w:ilvl w:val="0"/>
              <w:numId w:val="0"/>
            </w:numPr>
            <w:ind w:leftChars="0"/>
            <w:rPr>
              <w:rFonts w:hint="eastAsia" w:ascii="黑体" w:hAnsi="黑体" w:eastAsia="黑体" w:cs="黑体"/>
              <w:b/>
              <w:bCs/>
              <w:sz w:val="30"/>
              <w:szCs w:val="30"/>
            </w:rPr>
          </w:pPr>
        </w:p>
        <w:p w14:paraId="2C1D445E">
          <w:pPr>
            <w:numPr>
              <w:ilvl w:val="0"/>
              <w:numId w:val="0"/>
            </w:numPr>
            <w:ind w:leftChars="0"/>
            <w:rPr>
              <w:rFonts w:hint="eastAsia" w:ascii="黑体" w:hAnsi="黑体" w:eastAsia="黑体" w:cs="黑体"/>
              <w:b/>
              <w:bCs/>
              <w:sz w:val="30"/>
              <w:szCs w:val="30"/>
            </w:rPr>
          </w:pPr>
        </w:p>
        <w:p w14:paraId="5D3D5002">
          <w:pPr>
            <w:numPr>
              <w:ilvl w:val="0"/>
              <w:numId w:val="2"/>
            </w:numPr>
            <w:rPr>
              <w:rFonts w:hint="eastAsia" w:ascii="黑体" w:hAnsi="黑体" w:eastAsia="黑体" w:cs="黑体"/>
              <w:b/>
              <w:bCs/>
              <w:sz w:val="30"/>
              <w:szCs w:val="30"/>
            </w:rPr>
          </w:pPr>
          <w:r>
            <w:rPr>
              <w:rFonts w:hint="eastAsia" w:ascii="黑体" w:hAnsi="黑体" w:eastAsia="黑体" w:cs="黑体"/>
              <w:b/>
              <w:bCs/>
              <w:sz w:val="30"/>
              <w:szCs w:val="30"/>
            </w:rPr>
            <w:t>实践总结与结语</w:t>
          </w:r>
        </w:p>
        <w:p w14:paraId="135CEF7F">
          <w:pPr>
            <w:numPr>
              <w:ilvl w:val="0"/>
              <w:numId w:val="0"/>
            </w:numPr>
            <w:rPr>
              <w:rFonts w:hint="eastAsia" w:ascii="黑体" w:hAnsi="黑体" w:eastAsia="黑体" w:cs="黑体"/>
              <w:b/>
              <w:bCs/>
              <w:sz w:val="30"/>
              <w:szCs w:val="30"/>
            </w:rPr>
          </w:pPr>
        </w:p>
        <w:p w14:paraId="006F4729">
          <w:pPr>
            <w:numPr>
              <w:ilvl w:val="0"/>
              <w:numId w:val="0"/>
            </w:numPr>
            <w:rPr>
              <w:rFonts w:hint="eastAsia" w:ascii="黑体" w:hAnsi="黑体" w:eastAsia="黑体" w:cs="黑体"/>
              <w:b/>
              <w:bCs/>
              <w:sz w:val="30"/>
              <w:szCs w:val="30"/>
            </w:rPr>
          </w:pPr>
        </w:p>
        <w:p w14:paraId="32300137">
          <w:pPr>
            <w:numPr>
              <w:ilvl w:val="0"/>
              <w:numId w:val="0"/>
            </w:numPr>
            <w:rPr>
              <w:rFonts w:hint="eastAsia" w:ascii="黑体" w:hAnsi="黑体" w:eastAsia="黑体" w:cs="黑体"/>
              <w:b/>
              <w:bCs/>
              <w:sz w:val="30"/>
              <w:szCs w:val="30"/>
            </w:rPr>
          </w:pPr>
        </w:p>
        <w:p w14:paraId="1051B553">
          <w:pPr>
            <w:numPr>
              <w:ilvl w:val="0"/>
              <w:numId w:val="0"/>
            </w:numPr>
            <w:rPr>
              <w:rFonts w:hint="eastAsia" w:ascii="黑体" w:hAnsi="黑体" w:eastAsia="黑体" w:cs="黑体"/>
              <w:b/>
              <w:bCs/>
              <w:sz w:val="30"/>
              <w:szCs w:val="30"/>
            </w:rPr>
          </w:pPr>
        </w:p>
        <w:p w14:paraId="393188EC">
          <w:pPr>
            <w:numPr>
              <w:ilvl w:val="0"/>
              <w:numId w:val="0"/>
            </w:numPr>
            <w:rPr>
              <w:rFonts w:hint="eastAsia" w:ascii="黑体" w:hAnsi="黑体" w:eastAsia="黑体" w:cs="黑体"/>
              <w:b/>
              <w:bCs/>
              <w:sz w:val="30"/>
              <w:szCs w:val="30"/>
            </w:rPr>
          </w:pPr>
        </w:p>
        <w:p w14:paraId="0131B0D7">
          <w:pPr>
            <w:rPr>
              <w:rFonts w:hint="eastAsia" w:ascii="黑体" w:hAnsi="黑体" w:eastAsia="黑体" w:cs="黑体"/>
              <w:b/>
              <w:bCs/>
              <w:sz w:val="30"/>
              <w:szCs w:val="30"/>
            </w:rPr>
          </w:pPr>
          <w:r>
            <w:rPr>
              <w:rFonts w:hint="eastAsia" w:ascii="黑体" w:hAnsi="黑体" w:eastAsia="黑体" w:cs="黑体"/>
              <w:b/>
              <w:bCs/>
              <w:sz w:val="30"/>
              <w:szCs w:val="30"/>
            </w:rPr>
            <w:t>附录一 参考文献</w:t>
          </w:r>
        </w:p>
        <w:p w14:paraId="76079D2C">
          <w:pPr>
            <w:rPr>
              <w:rFonts w:hint="eastAsia"/>
              <w:b/>
              <w:bCs/>
              <w:sz w:val="36"/>
              <w:szCs w:val="36"/>
            </w:rPr>
          </w:pPr>
        </w:p>
        <w:p w14:paraId="4C502DF4"/>
      </w:sdtContent>
    </w:sdt>
    <w:p w14:paraId="22211E0A">
      <w:r>
        <w:br w:type="page"/>
      </w:r>
    </w:p>
    <w:p w14:paraId="2D3524FB">
      <w:pPr>
        <w:sectPr>
          <w:headerReference r:id="rId3" w:type="default"/>
          <w:footerReference r:id="rId4" w:type="default"/>
          <w:pgSz w:w="11906" w:h="16838"/>
          <w:pgMar w:top="1440" w:right="1134" w:bottom="1440" w:left="1134" w:header="708" w:footer="708" w:gutter="0"/>
          <w:cols w:space="720" w:num="1"/>
          <w:docGrid w:linePitch="360" w:charSpace="0"/>
        </w:sectPr>
      </w:pPr>
    </w:p>
    <w:p w14:paraId="25613B13">
      <w:pPr>
        <w:spacing w:before="240" w:after="360" w:line="480" w:lineRule="auto"/>
        <w:jc w:val="center"/>
      </w:pPr>
      <w:r>
        <w:rPr>
          <w:rFonts w:ascii="黑体" w:hAnsi="黑体" w:eastAsia="黑体" w:cs="黑体"/>
          <w:b/>
          <w:bCs/>
          <w:sz w:val="44"/>
          <w:szCs w:val="44"/>
        </w:rPr>
        <w:t>APEC视域下江岭社区客家文化双语传播三下乡实践报告</w:t>
      </w:r>
    </w:p>
    <w:p w14:paraId="1C62B0DB">
      <w:pPr>
        <w:pStyle w:val="2"/>
        <w:spacing w:before="360" w:after="240" w:line="360" w:lineRule="auto"/>
        <w:jc w:val="both"/>
      </w:pPr>
      <w:r>
        <w:rPr>
          <w:rFonts w:ascii="黑体" w:hAnsi="黑体" w:eastAsia="黑体" w:cs="黑体"/>
          <w:b/>
          <w:bCs/>
          <w:sz w:val="32"/>
          <w:szCs w:val="32"/>
        </w:rPr>
        <w:t>一、实践背景与调研目的</w:t>
      </w:r>
    </w:p>
    <w:p w14:paraId="21E8E02D">
      <w:pPr>
        <w:pStyle w:val="3"/>
        <w:spacing w:before="240" w:after="120" w:line="360" w:lineRule="auto"/>
      </w:pPr>
      <w:r>
        <w:rPr>
          <w:rFonts w:ascii="黑体" w:hAnsi="黑体" w:eastAsia="黑体" w:cs="黑体"/>
          <w:b/>
          <w:bCs/>
          <w:sz w:val="28"/>
          <w:szCs w:val="28"/>
        </w:rPr>
        <w:t>（一）政策背景与社区概况</w:t>
      </w:r>
    </w:p>
    <w:p w14:paraId="00DF0CCB">
      <w:pPr>
        <w:tabs>
          <w:tab w:val="left" w:pos="3600"/>
        </w:tabs>
        <w:spacing w:after="0" w:line="360" w:lineRule="auto"/>
        <w:ind w:firstLine="480"/>
        <w:jc w:val="both"/>
        <w:rPr>
          <w:rFonts w:ascii="宋体" w:hAnsi="宋体" w:eastAsia="宋体" w:cs="宋体"/>
          <w:sz w:val="24"/>
          <w:szCs w:val="24"/>
        </w:rPr>
      </w:pPr>
      <w:r>
        <w:rPr>
          <w:rFonts w:ascii="宋体" w:hAnsi="宋体" w:eastAsia="宋体" w:cs="宋体"/>
          <w:sz w:val="24"/>
          <w:szCs w:val="24"/>
        </w:rPr>
        <w:t>乡村振兴战略明确提出，要推动中华优秀传统文化实现创新性发展。2026年APEC会议将在深圳举办，坪山区作为深圳东部推进国际化建设的重点区域，眼下急需配齐标准化的多语种文旅宣传资料，完善涉外公共服务配套体系。</w:t>
      </w:r>
    </w:p>
    <w:p w14:paraId="6D460783">
      <w:pPr>
        <w:pStyle w:val="3"/>
        <w:spacing w:before="240" w:after="120" w:line="360" w:lineRule="auto"/>
        <w:ind w:firstLine="480" w:firstLineChars="200"/>
        <w:rPr>
          <w:rFonts w:hint="eastAsia" w:ascii="宋体" w:hAnsi="宋体" w:eastAsia="宋体" w:cs="宋体"/>
          <w:b w:val="0"/>
          <w:bCs w:val="0"/>
          <w:color w:val="auto"/>
          <w:sz w:val="24"/>
          <w:szCs w:val="24"/>
          <w:lang w:val="en-US" w:eastAsia="zh-CN"/>
        </w:rPr>
      </w:pPr>
      <w:r>
        <w:rPr>
          <w:rFonts w:ascii="宋体" w:hAnsi="宋体" w:eastAsia="宋体" w:cs="宋体"/>
          <w:b w:val="0"/>
          <w:bCs w:val="0"/>
          <w:color w:val="auto"/>
          <w:sz w:val="24"/>
          <w:szCs w:val="24"/>
        </w:rPr>
        <w:t>江岭社区坐落在坪山区马峦街道，辖区里</w:t>
      </w:r>
      <w:r>
        <w:rPr>
          <w:rFonts w:hint="eastAsia" w:ascii="宋体" w:hAnsi="宋体" w:eastAsia="宋体" w:cs="宋体"/>
          <w:b w:val="0"/>
          <w:bCs w:val="0"/>
          <w:color w:val="auto"/>
          <w:sz w:val="24"/>
          <w:szCs w:val="24"/>
          <w:lang w:val="en-US" w:eastAsia="zh-CN"/>
        </w:rPr>
        <w:t>具有多</w:t>
      </w:r>
      <w:r>
        <w:rPr>
          <w:rFonts w:ascii="宋体" w:hAnsi="宋体" w:eastAsia="宋体" w:cs="宋体"/>
          <w:b w:val="0"/>
          <w:bCs w:val="0"/>
          <w:color w:val="auto"/>
          <w:sz w:val="24"/>
          <w:szCs w:val="24"/>
        </w:rPr>
        <w:t>处特色文旅资源，包括300年历史的长守戏剧谷客家围屋、曾氏祠堂、曾生故居、东江纵队纪念馆、侨之家公园。这里把客家宗族文化、东江纵</w:t>
      </w:r>
      <w:r>
        <w:rPr>
          <w:rFonts w:hint="default" w:ascii="宋体" w:hAnsi="宋体" w:eastAsia="宋体" w:cs="宋体"/>
          <w:b w:val="0"/>
          <w:bCs w:val="0"/>
          <w:color w:val="auto"/>
          <w:sz w:val="24"/>
          <w:szCs w:val="24"/>
        </w:rPr>
        <w:t>队红色革命文化、侨乡南洋文化、围屋戏剧活化资源融在一起，形成了“客家根脉+红色记忆+侨乡情怀+戏剧新生”的独有文化体系，和深圳其他同质化的客家文旅项目不</w:t>
      </w:r>
      <w:r>
        <w:rPr>
          <w:rFonts w:hint="eastAsia" w:ascii="宋体" w:hAnsi="宋体" w:eastAsia="宋体" w:cs="宋体"/>
          <w:b w:val="0"/>
          <w:bCs w:val="0"/>
          <w:color w:val="auto"/>
          <w:sz w:val="24"/>
          <w:szCs w:val="24"/>
          <w:lang w:val="en-US" w:eastAsia="zh-CN"/>
        </w:rPr>
        <w:t>同</w:t>
      </w:r>
      <w:r>
        <w:rPr>
          <w:rFonts w:hint="default" w:ascii="宋体" w:hAnsi="宋体" w:eastAsia="宋体" w:cs="宋体"/>
          <w:b w:val="0"/>
          <w:bCs w:val="0"/>
          <w:color w:val="auto"/>
          <w:sz w:val="24"/>
          <w:szCs w:val="24"/>
        </w:rPr>
        <w:t>，</w:t>
      </w:r>
      <w:r>
        <w:rPr>
          <w:rFonts w:hint="eastAsia" w:ascii="宋体" w:hAnsi="宋体" w:eastAsia="宋体" w:cs="宋体"/>
          <w:b w:val="0"/>
          <w:bCs w:val="0"/>
          <w:color w:val="auto"/>
          <w:sz w:val="24"/>
          <w:szCs w:val="24"/>
          <w:lang w:val="en-US" w:eastAsia="zh-CN"/>
        </w:rPr>
        <w:t>具有</w:t>
      </w:r>
      <w:r>
        <w:rPr>
          <w:rFonts w:hint="default" w:ascii="宋体" w:hAnsi="宋体" w:eastAsia="宋体" w:cs="宋体"/>
          <w:b w:val="0"/>
          <w:bCs w:val="0"/>
          <w:color w:val="auto"/>
          <w:sz w:val="24"/>
          <w:szCs w:val="24"/>
        </w:rPr>
        <w:t>对外国际</w:t>
      </w:r>
      <w:r>
        <w:rPr>
          <w:rFonts w:hint="eastAsia" w:ascii="宋体" w:hAnsi="宋体" w:eastAsia="宋体" w:cs="宋体"/>
          <w:b w:val="0"/>
          <w:bCs w:val="0"/>
          <w:color w:val="auto"/>
          <w:sz w:val="24"/>
          <w:szCs w:val="24"/>
          <w:lang w:val="en-US" w:eastAsia="zh-CN"/>
        </w:rPr>
        <w:t>价值。</w:t>
      </w:r>
    </w:p>
    <w:p w14:paraId="47DFADF7">
      <w:pPr>
        <w:pStyle w:val="3"/>
        <w:spacing w:before="240" w:after="120" w:line="360" w:lineRule="auto"/>
        <w:ind w:firstLine="480" w:firstLineChars="200"/>
        <w:rPr>
          <w:rFonts w:hint="eastAsia"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rPr>
        <w:t>高校外语专业师生参与乡村文化志愿服务，能够将语言服务优势转化为地方文化对外传播能力，为基层文旅资源国际化提供持续支撑</w:t>
      </w:r>
      <w:r>
        <w:rPr>
          <w:rFonts w:hint="eastAsia" w:ascii="宋体" w:hAnsi="宋体" w:eastAsia="宋体" w:cs="宋体"/>
          <w:b w:val="0"/>
          <w:bCs w:val="0"/>
          <w:color w:val="auto"/>
          <w:sz w:val="24"/>
          <w:szCs w:val="24"/>
          <w:lang w:eastAsia="zh-CN"/>
        </w:rPr>
        <w:t>。</w:t>
      </w:r>
    </w:p>
    <w:p w14:paraId="02858D4F">
      <w:pPr>
        <w:pStyle w:val="3"/>
        <w:spacing w:before="240" w:after="120" w:line="360" w:lineRule="auto"/>
      </w:pPr>
      <w:r>
        <w:rPr>
          <w:rFonts w:ascii="黑体" w:hAnsi="黑体" w:eastAsia="黑体" w:cs="黑体"/>
          <w:b/>
          <w:bCs/>
          <w:sz w:val="28"/>
          <w:szCs w:val="28"/>
        </w:rPr>
        <w:t>（二）实践任务与调研目标</w:t>
      </w:r>
    </w:p>
    <w:p w14:paraId="16290F94">
      <w:pPr>
        <w:pStyle w:val="3"/>
        <w:spacing w:before="240" w:after="120" w:line="360" w:lineRule="auto"/>
        <w:ind w:firstLine="480" w:firstLineChars="200"/>
        <w:rPr>
          <w:rFonts w:ascii="宋体" w:hAnsi="宋体" w:eastAsia="宋体" w:cs="宋体"/>
          <w:b w:val="0"/>
          <w:bCs w:val="0"/>
          <w:color w:val="auto"/>
          <w:sz w:val="24"/>
          <w:szCs w:val="24"/>
        </w:rPr>
      </w:pPr>
      <w:r>
        <w:rPr>
          <w:rFonts w:hint="default" w:ascii="宋体" w:hAnsi="宋体" w:eastAsia="宋体" w:cs="宋体"/>
          <w:b w:val="0"/>
          <w:bCs w:val="0"/>
          <w:color w:val="auto"/>
          <w:sz w:val="24"/>
          <w:szCs w:val="24"/>
        </w:rPr>
        <w:t>本团队于2025年首次赴江岭社区开展调研，完成了辖区文旅点位的基础摸排工作。2026年7月4日至10日，团队响应广东省“百千万工程”部署，第二次进驻江岭社区开展为期7天的“三下乡”实践活动，依托英、德双语专业优势，重点完成两项核心落地任务：</w:t>
      </w:r>
      <w:r>
        <w:rPr>
          <w:rFonts w:hint="default" w:ascii="宋体" w:hAnsi="宋体" w:eastAsia="宋体" w:cs="宋体"/>
          <w:b w:val="0"/>
          <w:bCs w:val="0"/>
          <w:color w:val="auto"/>
          <w:sz w:val="24"/>
          <w:szCs w:val="24"/>
        </w:rPr>
        <w:br w:type="textWrapping"/>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rPr>
        <w:t>一是开设APEC主题少儿双语公益课堂，将本土客家文化元素融入教学内容，面向社区青少年开展公益性外语普及；</w:t>
      </w:r>
      <w:r>
        <w:rPr>
          <w:rFonts w:hint="default" w:ascii="宋体" w:hAnsi="宋体" w:eastAsia="宋体" w:cs="宋体"/>
          <w:b w:val="0"/>
          <w:bCs w:val="0"/>
          <w:color w:val="auto"/>
          <w:sz w:val="24"/>
          <w:szCs w:val="24"/>
        </w:rPr>
        <w:br w:type="textWrapping"/>
      </w:r>
      <w:r>
        <w:rPr>
          <w:rFonts w:hint="eastAsia" w:ascii="宋体" w:hAnsi="宋体" w:eastAsia="宋体" w:cs="宋体"/>
          <w:b w:val="0"/>
          <w:bCs w:val="0"/>
          <w:color w:val="auto"/>
          <w:sz w:val="24"/>
          <w:szCs w:val="24"/>
          <w:lang w:val="en-US" w:eastAsia="zh-CN"/>
        </w:rPr>
        <w:t xml:space="preserve">    </w:t>
      </w:r>
      <w:r>
        <w:rPr>
          <w:rFonts w:hint="default" w:ascii="宋体" w:hAnsi="宋体" w:eastAsia="宋体" w:cs="宋体"/>
          <w:b w:val="0"/>
          <w:bCs w:val="0"/>
          <w:color w:val="auto"/>
          <w:sz w:val="24"/>
          <w:szCs w:val="24"/>
        </w:rPr>
        <w:t>二是完成辖</w:t>
      </w:r>
      <w:r>
        <w:rPr>
          <w:rFonts w:hint="eastAsia" w:ascii="宋体" w:hAnsi="宋体" w:eastAsia="宋体" w:cs="宋体"/>
          <w:b w:val="0"/>
          <w:bCs w:val="0"/>
          <w:color w:val="auto"/>
          <w:sz w:val="24"/>
          <w:szCs w:val="24"/>
          <w:lang w:val="en-US" w:eastAsia="zh-CN"/>
        </w:rPr>
        <w:t>区内多处景点的中英双语介绍</w:t>
      </w:r>
      <w:r>
        <w:rPr>
          <w:rFonts w:hint="default" w:ascii="宋体" w:hAnsi="宋体" w:eastAsia="宋体" w:cs="宋体"/>
          <w:b w:val="0"/>
          <w:bCs w:val="0"/>
          <w:color w:val="auto"/>
          <w:sz w:val="24"/>
          <w:szCs w:val="24"/>
        </w:rPr>
        <w:t>摄制，全套成果已移交社区长期留存使用。</w:t>
      </w:r>
    </w:p>
    <w:p w14:paraId="443319B4">
      <w:pPr>
        <w:pStyle w:val="3"/>
        <w:spacing w:before="240" w:after="120" w:line="360" w:lineRule="auto"/>
        <w:rPr>
          <w:rFonts w:hint="default" w:ascii="宋体" w:hAnsi="宋体" w:eastAsia="宋体" w:cs="宋体"/>
          <w:b w:val="0"/>
          <w:bCs w:val="0"/>
          <w:color w:val="auto"/>
          <w:sz w:val="24"/>
          <w:szCs w:val="24"/>
        </w:rPr>
      </w:pPr>
      <w:r>
        <w:rPr>
          <w:rFonts w:hint="default" w:ascii="宋体" w:hAnsi="宋体" w:eastAsia="宋体" w:cs="宋体"/>
          <w:b w:val="0"/>
          <w:bCs w:val="0"/>
          <w:color w:val="auto"/>
          <w:sz w:val="24"/>
          <w:szCs w:val="24"/>
        </w:rPr>
        <w:t>实践期间，团队同步开展专项调研，全面梳理江岭客家文旅对外传播现状，排查涉外宣传物料、公共外语服务等环节的现存短板。后续将依托外国语学院专业资源，形成可落地、可长效运行的双语传播方案</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color w:val="auto"/>
          <w:sz w:val="24"/>
          <w:szCs w:val="24"/>
          <w:lang w:val="en-US" w:eastAsia="zh-CN"/>
        </w:rPr>
        <w:t>抓住</w:t>
      </w:r>
      <w:r>
        <w:rPr>
          <w:rFonts w:hint="default" w:ascii="宋体" w:hAnsi="宋体" w:eastAsia="宋体" w:cs="宋体"/>
          <w:b w:val="0"/>
          <w:bCs w:val="0"/>
          <w:color w:val="auto"/>
          <w:sz w:val="24"/>
          <w:szCs w:val="24"/>
        </w:rPr>
        <w:t>深圳APEC会议的国际传播窗口，为基层客家文化对外传播提供可复制的实操参考。</w:t>
      </w:r>
    </w:p>
    <w:p w14:paraId="3E58F819">
      <w:pPr>
        <w:pStyle w:val="3"/>
        <w:spacing w:before="240" w:after="120" w:line="360" w:lineRule="auto"/>
      </w:pPr>
      <w:r>
        <w:rPr>
          <w:rFonts w:ascii="黑体" w:hAnsi="黑体" w:eastAsia="黑体" w:cs="黑体"/>
          <w:b/>
          <w:bCs/>
          <w:sz w:val="28"/>
          <w:szCs w:val="28"/>
        </w:rPr>
        <w:t>（三）调研范围、对象与方法</w:t>
      </w:r>
    </w:p>
    <w:p w14:paraId="1E5E2D4D">
      <w:pPr>
        <w:spacing w:after="0" w:line="360" w:lineRule="auto"/>
        <w:ind w:firstLine="480"/>
        <w:jc w:val="both"/>
      </w:pPr>
      <w:r>
        <w:rPr>
          <w:rFonts w:ascii="宋体" w:hAnsi="宋体" w:eastAsia="宋体" w:cs="宋体"/>
          <w:sz w:val="24"/>
          <w:szCs w:val="24"/>
        </w:rPr>
        <w:t>调研覆盖江岭社区全部11处文旅点位、社区党群服务中心、居民生活区；调研对象涵盖社区工作人员、本地客家</w:t>
      </w:r>
      <w:r>
        <w:rPr>
          <w:rFonts w:hint="eastAsia" w:cs="宋体"/>
          <w:sz w:val="24"/>
          <w:szCs w:val="24"/>
          <w:lang w:val="en-US" w:eastAsia="zh-CN"/>
        </w:rPr>
        <w:t>阿婆</w:t>
      </w:r>
      <w:r>
        <w:rPr>
          <w:rFonts w:ascii="宋体" w:hAnsi="宋体" w:eastAsia="宋体" w:cs="宋体"/>
          <w:sz w:val="24"/>
          <w:szCs w:val="24"/>
        </w:rPr>
        <w:t>、青少年、沿街商户、来访游客。采用实地走访观察、一对一居民访谈、系统数据整理分析</w:t>
      </w:r>
      <w:r>
        <w:rPr>
          <w:rFonts w:hint="eastAsia" w:cs="宋体"/>
          <w:sz w:val="24"/>
          <w:szCs w:val="24"/>
          <w:lang w:val="en-US" w:eastAsia="zh-CN"/>
        </w:rPr>
        <w:t>三</w:t>
      </w:r>
      <w:r>
        <w:rPr>
          <w:rFonts w:ascii="宋体" w:hAnsi="宋体" w:eastAsia="宋体" w:cs="宋体"/>
          <w:sz w:val="24"/>
          <w:szCs w:val="24"/>
        </w:rPr>
        <w:t>类调研方式，保证调研数据客观完整，为问题分析与对策制定提供事实支撑。</w:t>
      </w:r>
    </w:p>
    <w:p w14:paraId="22403667">
      <w:pPr>
        <w:pStyle w:val="2"/>
        <w:spacing w:before="360" w:after="240" w:line="360" w:lineRule="auto"/>
        <w:jc w:val="both"/>
      </w:pPr>
      <w:r>
        <w:rPr>
          <w:rFonts w:ascii="黑体" w:hAnsi="黑体" w:eastAsia="黑体" w:cs="黑体"/>
          <w:b/>
          <w:bCs/>
          <w:sz w:val="32"/>
          <w:szCs w:val="32"/>
        </w:rPr>
        <w:t>二、江岭社区客家文旅双语传播现状及现存问题</w:t>
      </w:r>
    </w:p>
    <w:p w14:paraId="4A25E98C">
      <w:pPr>
        <w:pStyle w:val="3"/>
        <w:spacing w:before="240" w:after="120" w:line="360" w:lineRule="auto"/>
      </w:pPr>
      <w:r>
        <w:rPr>
          <w:rFonts w:ascii="黑体" w:hAnsi="黑体" w:eastAsia="黑体" w:cs="黑体"/>
          <w:b/>
          <w:bCs/>
          <w:sz w:val="28"/>
          <w:szCs w:val="28"/>
        </w:rPr>
        <w:t>（一）现有传播资源与基础优势</w:t>
      </w:r>
    </w:p>
    <w:p w14:paraId="64318BA4">
      <w:pPr>
        <w:spacing w:after="0" w:line="360" w:lineRule="auto"/>
        <w:ind w:firstLine="480"/>
        <w:jc w:val="both"/>
        <w:rPr>
          <w:rFonts w:ascii="宋体" w:hAnsi="宋体" w:eastAsia="宋体" w:cs="宋体"/>
          <w:sz w:val="24"/>
          <w:szCs w:val="24"/>
        </w:rPr>
      </w:pPr>
      <w:r>
        <w:rPr>
          <w:rFonts w:ascii="宋体" w:hAnsi="宋体" w:eastAsia="宋体" w:cs="宋体"/>
          <w:b/>
          <w:bCs/>
          <w:sz w:val="24"/>
          <w:szCs w:val="24"/>
        </w:rPr>
        <w:t>第一，文化资源差异化优势显著。</w:t>
      </w:r>
      <w:r>
        <w:rPr>
          <w:rFonts w:ascii="宋体" w:hAnsi="宋体" w:eastAsia="宋体" w:cs="宋体"/>
          <w:sz w:val="24"/>
          <w:szCs w:val="24"/>
        </w:rPr>
        <w:t>社区同时承载客家民俗、红色历史、侨乡文化、戏剧活化四类内容，留存完整客家口述民俗与生活传统，长守围屋戏剧IP辨识度高，拥有区别周边文旅项目的国际传播内容内核。</w:t>
      </w:r>
    </w:p>
    <w:p w14:paraId="2EC314C1">
      <w:pPr>
        <w:spacing w:after="0" w:line="360" w:lineRule="auto"/>
        <w:ind w:firstLine="480"/>
        <w:jc w:val="both"/>
      </w:pPr>
      <w:r>
        <w:rPr>
          <w:rFonts w:ascii="宋体" w:hAnsi="宋体" w:eastAsia="宋体" w:cs="宋体"/>
          <w:b/>
          <w:bCs/>
          <w:sz w:val="24"/>
          <w:szCs w:val="24"/>
        </w:rPr>
        <w:t>第二，校地联动合作机制成熟。</w:t>
      </w:r>
      <w:r>
        <w:rPr>
          <w:rFonts w:ascii="宋体" w:hAnsi="宋体" w:eastAsia="宋体" w:cs="宋体"/>
          <w:sz w:val="24"/>
          <w:szCs w:val="24"/>
        </w:rPr>
        <w:t>社区党群服务中心可提供场地、居民组织等落地支持，本地居民对本土文化对外宣传认可度高；实践团队全员具</w:t>
      </w:r>
      <w:r>
        <w:rPr>
          <w:rFonts w:hint="eastAsia" w:cs="宋体"/>
          <w:sz w:val="24"/>
          <w:szCs w:val="24"/>
          <w:lang w:val="en-US" w:eastAsia="zh-CN"/>
        </w:rPr>
        <w:t>中英</w:t>
      </w:r>
      <w:r>
        <w:rPr>
          <w:rFonts w:ascii="宋体" w:hAnsi="宋体" w:eastAsia="宋体" w:cs="宋体"/>
          <w:sz w:val="24"/>
          <w:szCs w:val="24"/>
        </w:rPr>
        <w:t>双语翻译、文案、视频拍摄剪辑能力，可独立完成全套多语种内容创作，具备长期产出双语宣传内容的人才</w:t>
      </w:r>
      <w:r>
        <w:rPr>
          <w:rFonts w:hint="eastAsia" w:cs="宋体"/>
          <w:sz w:val="24"/>
          <w:szCs w:val="24"/>
          <w:lang w:val="en-US" w:eastAsia="zh-CN"/>
        </w:rPr>
        <w:t>支持</w:t>
      </w:r>
      <w:r>
        <w:rPr>
          <w:rFonts w:ascii="宋体" w:hAnsi="宋体" w:eastAsia="宋体" w:cs="宋体"/>
          <w:sz w:val="24"/>
          <w:szCs w:val="24"/>
        </w:rPr>
        <w:t>。</w:t>
      </w:r>
    </w:p>
    <w:p w14:paraId="08EF4827">
      <w:pPr>
        <w:pStyle w:val="3"/>
        <w:spacing w:before="240" w:after="120" w:line="360" w:lineRule="auto"/>
      </w:pPr>
      <w:r>
        <w:rPr>
          <w:rFonts w:ascii="黑体" w:hAnsi="黑体" w:eastAsia="黑体" w:cs="黑体"/>
          <w:b/>
          <w:bCs/>
          <w:sz w:val="28"/>
          <w:szCs w:val="28"/>
        </w:rPr>
        <w:t>（二）双语传播三大核心短板</w:t>
      </w:r>
    </w:p>
    <w:p w14:paraId="725762EE">
      <w:pPr>
        <w:spacing w:after="0" w:line="360" w:lineRule="auto"/>
        <w:ind w:firstLine="480"/>
        <w:jc w:val="both"/>
        <w:rPr>
          <w:rFonts w:ascii="宋体" w:hAnsi="宋体" w:eastAsia="宋体" w:cs="宋体"/>
          <w:sz w:val="24"/>
          <w:szCs w:val="24"/>
        </w:rPr>
      </w:pPr>
      <w:r>
        <w:rPr>
          <w:rFonts w:ascii="宋体" w:hAnsi="宋体" w:eastAsia="宋体" w:cs="宋体"/>
          <w:b/>
          <w:bCs/>
          <w:sz w:val="24"/>
          <w:szCs w:val="24"/>
        </w:rPr>
        <w:t>1. 全域多语种宣传物料空白。</w:t>
      </w:r>
      <w:r>
        <w:rPr>
          <w:rFonts w:ascii="宋体" w:hAnsi="宋体" w:eastAsia="宋体" w:cs="宋体"/>
          <w:sz w:val="24"/>
          <w:szCs w:val="24"/>
        </w:rPr>
        <w:t>11处景点导览牌、宣传折页、线上推文仅有中文版本，无标准化</w:t>
      </w:r>
      <w:r>
        <w:rPr>
          <w:rFonts w:hint="eastAsia" w:cs="宋体"/>
          <w:sz w:val="24"/>
          <w:szCs w:val="24"/>
          <w:lang w:val="en-US" w:eastAsia="zh-CN"/>
        </w:rPr>
        <w:t>英</w:t>
      </w:r>
      <w:r>
        <w:rPr>
          <w:rFonts w:ascii="宋体" w:hAnsi="宋体" w:eastAsia="宋体" w:cs="宋体"/>
          <w:sz w:val="24"/>
          <w:szCs w:val="24"/>
        </w:rPr>
        <w:t>文介绍与宣传视频。问卷数据显示</w:t>
      </w:r>
      <w:r>
        <w:rPr>
          <w:rFonts w:hint="eastAsia" w:cs="宋体"/>
          <w:sz w:val="24"/>
          <w:szCs w:val="24"/>
          <w:lang w:val="en-US" w:eastAsia="zh-CN"/>
        </w:rPr>
        <w:t>65</w:t>
      </w:r>
      <w:r>
        <w:rPr>
          <w:rFonts w:ascii="宋体" w:hAnsi="宋体" w:eastAsia="宋体" w:cs="宋体"/>
          <w:sz w:val="24"/>
          <w:szCs w:val="24"/>
        </w:rPr>
        <w:t>%外籍游客无法获取外文游览信息，</w:t>
      </w:r>
      <w:r>
        <w:rPr>
          <w:rFonts w:hint="eastAsia" w:cs="宋体"/>
          <w:sz w:val="24"/>
          <w:szCs w:val="24"/>
          <w:lang w:val="en-US" w:eastAsia="zh-CN"/>
        </w:rPr>
        <w:t>5</w:t>
      </w:r>
      <w:r>
        <w:rPr>
          <w:rFonts w:ascii="宋体" w:hAnsi="宋体" w:eastAsia="宋体" w:cs="宋体"/>
          <w:sz w:val="24"/>
          <w:szCs w:val="24"/>
        </w:rPr>
        <w:t>0%受访者认为本地缺少适配国际传播内容，境外访客仅能依靠翻译软件简单问路，优质文旅资源</w:t>
      </w:r>
      <w:r>
        <w:rPr>
          <w:rFonts w:hint="eastAsia" w:cs="宋体"/>
          <w:sz w:val="24"/>
          <w:szCs w:val="24"/>
          <w:lang w:val="en-US" w:eastAsia="zh-CN"/>
        </w:rPr>
        <w:t>缺乏</w:t>
      </w:r>
      <w:r>
        <w:rPr>
          <w:rFonts w:ascii="宋体" w:hAnsi="宋体" w:eastAsia="宋体" w:cs="宋体"/>
          <w:sz w:val="24"/>
          <w:szCs w:val="24"/>
        </w:rPr>
        <w:t>对外展示</w:t>
      </w:r>
      <w:r>
        <w:rPr>
          <w:rFonts w:hint="eastAsia" w:cs="宋体"/>
          <w:sz w:val="24"/>
          <w:szCs w:val="24"/>
          <w:lang w:val="en-US" w:eastAsia="zh-CN"/>
        </w:rPr>
        <w:t>途径</w:t>
      </w:r>
      <w:r>
        <w:rPr>
          <w:rFonts w:ascii="宋体" w:hAnsi="宋体" w:eastAsia="宋体" w:cs="宋体"/>
          <w:sz w:val="24"/>
          <w:szCs w:val="24"/>
        </w:rPr>
        <w:t>。</w:t>
      </w:r>
    </w:p>
    <w:p w14:paraId="724FEAFC">
      <w:pPr>
        <w:spacing w:after="0" w:line="360" w:lineRule="auto"/>
        <w:ind w:firstLine="480"/>
        <w:jc w:val="both"/>
        <w:rPr>
          <w:rFonts w:ascii="宋体" w:hAnsi="宋体" w:eastAsia="宋体" w:cs="宋体"/>
          <w:sz w:val="24"/>
          <w:szCs w:val="24"/>
        </w:rPr>
      </w:pPr>
      <w:r>
        <w:rPr>
          <w:rFonts w:ascii="宋体" w:hAnsi="宋体" w:eastAsia="宋体" w:cs="宋体"/>
          <w:sz w:val="24"/>
          <w:szCs w:val="24"/>
        </w:rPr>
        <w:t>客家非遗与古村落文旅资源若缺少适配海外受众的译介文本，极易出现 “文化资源存量充足、对外传播流量枯竭” 的断层问题，直接限制文旅资源的国际化变现与品牌塑造（陈爱兰，2025）</w:t>
      </w:r>
    </w:p>
    <w:p w14:paraId="7D455790">
      <w:pPr>
        <w:spacing w:after="0" w:line="360" w:lineRule="auto"/>
        <w:ind w:firstLine="480"/>
        <w:jc w:val="both"/>
        <w:rPr>
          <w:rFonts w:ascii="宋体" w:hAnsi="宋体" w:eastAsia="宋体" w:cs="宋体"/>
          <w:sz w:val="24"/>
          <w:szCs w:val="24"/>
        </w:rPr>
      </w:pPr>
    </w:p>
    <w:p w14:paraId="02147336">
      <w:pPr>
        <w:numPr>
          <w:ilvl w:val="0"/>
          <w:numId w:val="3"/>
        </w:numPr>
        <w:spacing w:after="0" w:line="360" w:lineRule="auto"/>
        <w:ind w:firstLine="480"/>
        <w:jc w:val="both"/>
        <w:rPr>
          <w:rFonts w:hint="default" w:ascii="宋体" w:hAnsi="宋体" w:eastAsia="宋体" w:cs="宋体"/>
          <w:sz w:val="24"/>
          <w:szCs w:val="24"/>
        </w:rPr>
      </w:pPr>
      <w:r>
        <w:rPr>
          <w:rFonts w:ascii="宋体" w:hAnsi="宋体" w:eastAsia="宋体" w:cs="宋体"/>
          <w:b/>
          <w:bCs/>
          <w:sz w:val="24"/>
          <w:szCs w:val="24"/>
        </w:rPr>
        <w:t>社区公益性外语服务供给缺</w:t>
      </w:r>
      <w:r>
        <w:rPr>
          <w:rFonts w:hint="eastAsia" w:cs="宋体"/>
          <w:b/>
          <w:bCs/>
          <w:sz w:val="24"/>
          <w:szCs w:val="24"/>
          <w:lang w:val="en-US" w:eastAsia="zh-CN"/>
        </w:rPr>
        <w:t>乏</w:t>
      </w:r>
      <w:r>
        <w:rPr>
          <w:rFonts w:ascii="宋体" w:hAnsi="宋体" w:eastAsia="宋体" w:cs="宋体"/>
          <w:b/>
          <w:bCs/>
          <w:sz w:val="24"/>
          <w:szCs w:val="24"/>
        </w:rPr>
        <w:t>。</w:t>
      </w:r>
      <w:r>
        <w:rPr>
          <w:rFonts w:ascii="宋体" w:hAnsi="宋体" w:eastAsia="宋体" w:cs="宋体"/>
          <w:sz w:val="24"/>
          <w:szCs w:val="24"/>
        </w:rPr>
        <w:t>调研数据显示，社区居民的外语学习需求十分集中：‌</w:t>
      </w:r>
      <w:r>
        <w:rPr>
          <w:rFonts w:hint="default" w:ascii="宋体" w:hAnsi="宋体" w:eastAsia="宋体" w:cs="宋体"/>
          <w:sz w:val="24"/>
          <w:szCs w:val="24"/>
        </w:rPr>
        <w:t>78.2%的社区青少年有明确的课外英语学习需求，参与课程的积极性极高‌，</w:t>
      </w:r>
      <w:r>
        <w:rPr>
          <w:rFonts w:hint="eastAsia" w:cs="宋体"/>
          <w:sz w:val="24"/>
          <w:szCs w:val="24"/>
          <w:lang w:val="en-US" w:eastAsia="zh-CN"/>
        </w:rPr>
        <w:t>4</w:t>
      </w:r>
      <w:r>
        <w:rPr>
          <w:rFonts w:hint="default" w:ascii="宋体" w:hAnsi="宋体" w:eastAsia="宋体" w:cs="宋体"/>
          <w:sz w:val="24"/>
          <w:szCs w:val="24"/>
        </w:rPr>
        <w:t>5.4%的成年居民也迫切需要日常、旅游场景下的实用英语学习渠道。但目前社区尚未开设常态化公益外语课堂，居民缺少用外语讲述家乡文化的专属学习平台；同时辖区全域缺少规范的双语导览标识，拉低了境外游客的游览体验。</w:t>
      </w:r>
    </w:p>
    <w:p w14:paraId="287693AC">
      <w:pPr>
        <w:numPr>
          <w:ilvl w:val="0"/>
          <w:numId w:val="0"/>
        </w:numPr>
        <w:spacing w:after="0" w:line="360" w:lineRule="auto"/>
        <w:jc w:val="both"/>
        <w:rPr>
          <w:rFonts w:hint="eastAsia" w:ascii="宋体" w:hAnsi="宋体" w:eastAsia="宋体" w:cs="宋体"/>
          <w:sz w:val="24"/>
          <w:szCs w:val="24"/>
          <w:lang w:eastAsia="zh-CN"/>
        </w:rPr>
      </w:pPr>
      <w:r>
        <w:rPr>
          <w:rFonts w:hint="eastAsia" w:cs="宋体"/>
          <w:sz w:val="24"/>
          <w:szCs w:val="24"/>
          <w:lang w:val="en-US" w:eastAsia="zh-CN"/>
        </w:rPr>
        <w:t xml:space="preserve">   </w:t>
      </w:r>
      <w:r>
        <w:rPr>
          <w:rFonts w:ascii="宋体" w:hAnsi="宋体" w:eastAsia="宋体" w:cs="宋体"/>
          <w:sz w:val="24"/>
          <w:szCs w:val="24"/>
        </w:rPr>
        <w:t>面向乡村青少年开展文化主题外语实训课程，既可以夯实青少年外语应用能力，也能够培育本土文化对外传播的青年储备力量，实现文化传承与语言教育双向赋能</w:t>
      </w:r>
      <w:r>
        <w:rPr>
          <w:rFonts w:hint="eastAsia" w:cs="宋体"/>
          <w:sz w:val="24"/>
          <w:szCs w:val="24"/>
          <w:lang w:eastAsia="zh-CN"/>
        </w:rPr>
        <w:t>。</w:t>
      </w:r>
    </w:p>
    <w:p w14:paraId="5A4F0077">
      <w:pPr>
        <w:numPr>
          <w:ilvl w:val="0"/>
          <w:numId w:val="0"/>
        </w:numPr>
        <w:spacing w:after="0" w:line="360" w:lineRule="auto"/>
        <w:jc w:val="both"/>
        <w:rPr>
          <w:rFonts w:hint="default" w:ascii="宋体" w:hAnsi="宋体" w:eastAsia="宋体" w:cs="宋体"/>
          <w:sz w:val="24"/>
          <w:szCs w:val="24"/>
          <w:lang w:val="en-US" w:eastAsia="zh-CN"/>
        </w:rPr>
      </w:pPr>
    </w:p>
    <w:p w14:paraId="62EEBC5E">
      <w:pPr>
        <w:numPr>
          <w:ilvl w:val="0"/>
          <w:numId w:val="3"/>
        </w:numPr>
        <w:spacing w:after="0" w:line="360" w:lineRule="auto"/>
        <w:ind w:left="0" w:leftChars="0" w:firstLine="480" w:firstLineChars="0"/>
        <w:jc w:val="both"/>
        <w:rPr>
          <w:rFonts w:hint="eastAsia" w:ascii="宋体" w:hAnsi="宋体" w:eastAsia="宋体" w:cs="宋体"/>
          <w:sz w:val="24"/>
          <w:szCs w:val="24"/>
        </w:rPr>
      </w:pPr>
      <w:r>
        <w:rPr>
          <w:rFonts w:hint="eastAsia" w:ascii="宋体" w:hAnsi="宋体" w:eastAsia="宋体" w:cs="宋体"/>
          <w:b/>
          <w:bCs/>
          <w:sz w:val="24"/>
          <w:szCs w:val="24"/>
        </w:rPr>
        <w:t>文化资源整合度不足，多语种对外传播存在明显缺位。</w:t>
      </w:r>
      <w:r>
        <w:rPr>
          <w:rFonts w:hint="eastAsia" w:ascii="宋体" w:hAnsi="宋体" w:eastAsia="宋体" w:cs="宋体"/>
          <w:sz w:val="24"/>
          <w:szCs w:val="24"/>
        </w:rPr>
        <w:t>四类特色文化资源尚未完成内核串联，对外宣传处于碎片化状态，没有形成辨识度统一的江岭文化品牌。最突出的是面向海外的多语种内容供给不足，英、德双语的客家围屋主题宣传片仍属空白，直接导致海外游客</w:t>
      </w:r>
      <w:r>
        <w:rPr>
          <w:rFonts w:hint="eastAsia" w:cs="宋体"/>
          <w:sz w:val="24"/>
          <w:szCs w:val="24"/>
          <w:lang w:val="en-US" w:eastAsia="zh-CN"/>
        </w:rPr>
        <w:t>对于</w:t>
      </w:r>
      <w:r>
        <w:rPr>
          <w:rFonts w:hint="eastAsia" w:ascii="宋体" w:hAnsi="宋体" w:eastAsia="宋体" w:cs="宋体"/>
          <w:sz w:val="24"/>
          <w:szCs w:val="24"/>
        </w:rPr>
        <w:t>江岭文化的独特性</w:t>
      </w:r>
      <w:r>
        <w:rPr>
          <w:rFonts w:hint="eastAsia" w:cs="宋体"/>
          <w:sz w:val="24"/>
          <w:szCs w:val="24"/>
          <w:lang w:val="en-US" w:eastAsia="zh-CN"/>
        </w:rPr>
        <w:t>理解不足</w:t>
      </w:r>
      <w:r>
        <w:rPr>
          <w:rFonts w:hint="eastAsia" w:ascii="宋体" w:hAnsi="宋体" w:eastAsia="宋体" w:cs="宋体"/>
          <w:sz w:val="24"/>
          <w:szCs w:val="24"/>
        </w:rPr>
        <w:t>，即便坐拥</w:t>
      </w:r>
      <w:r>
        <w:rPr>
          <w:rFonts w:hint="eastAsia" w:cs="宋体"/>
          <w:sz w:val="24"/>
          <w:szCs w:val="24"/>
          <w:lang w:val="en-US" w:eastAsia="zh-CN"/>
        </w:rPr>
        <w:t>丰富</w:t>
      </w:r>
      <w:r>
        <w:rPr>
          <w:rFonts w:hint="eastAsia" w:ascii="宋体" w:hAnsi="宋体" w:eastAsia="宋体" w:cs="宋体"/>
          <w:sz w:val="24"/>
          <w:szCs w:val="24"/>
        </w:rPr>
        <w:t>文旅资源，也难以在同类客家文旅的国际竞争中形成差异化优势。</w:t>
      </w:r>
    </w:p>
    <w:p w14:paraId="53444AA5">
      <w:pPr>
        <w:numPr>
          <w:ilvl w:val="0"/>
          <w:numId w:val="0"/>
        </w:numPr>
        <w:spacing w:after="0" w:line="360" w:lineRule="auto"/>
        <w:ind w:firstLine="480" w:firstLineChars="200"/>
        <w:jc w:val="both"/>
        <w:rPr>
          <w:rFonts w:hint="eastAsia" w:ascii="宋体" w:hAnsi="宋体" w:eastAsia="宋体" w:cs="宋体"/>
          <w:sz w:val="24"/>
          <w:szCs w:val="24"/>
          <w:lang w:eastAsia="zh-CN"/>
        </w:rPr>
      </w:pPr>
      <w:r>
        <w:rPr>
          <w:rFonts w:ascii="宋体" w:hAnsi="宋体" w:eastAsia="宋体" w:cs="宋体"/>
          <w:sz w:val="24"/>
          <w:szCs w:val="24"/>
        </w:rPr>
        <w:t>客家文化代际传承弱化会直接造成本土文化叙事主体断层，即便拥有优质物质文化遗存，也难以形成可持续、有温度的海外文化传播内容</w:t>
      </w:r>
      <w:r>
        <w:rPr>
          <w:rFonts w:hint="eastAsia" w:cs="宋体"/>
          <w:sz w:val="24"/>
          <w:szCs w:val="24"/>
          <w:lang w:eastAsia="zh-CN"/>
        </w:rPr>
        <w:t>。</w:t>
      </w:r>
    </w:p>
    <w:p w14:paraId="33FCE55A">
      <w:pPr>
        <w:pStyle w:val="3"/>
        <w:spacing w:before="240" w:after="120" w:line="360" w:lineRule="auto"/>
      </w:pPr>
      <w:r>
        <w:rPr>
          <w:rFonts w:ascii="黑体" w:hAnsi="黑体" w:eastAsia="黑体" w:cs="黑体"/>
          <w:b/>
          <w:bCs/>
          <w:sz w:val="28"/>
          <w:szCs w:val="28"/>
        </w:rPr>
        <w:t>（三）发展机遇与竞争风险</w:t>
      </w:r>
    </w:p>
    <w:p w14:paraId="47DC586F">
      <w:pPr>
        <w:pStyle w:val="4"/>
        <w:spacing w:before="120" w:after="120" w:line="360" w:lineRule="auto"/>
      </w:pPr>
      <w:r>
        <w:rPr>
          <w:rFonts w:ascii="黑体" w:hAnsi="黑体" w:eastAsia="黑体" w:cs="黑体"/>
          <w:b/>
          <w:bCs/>
          <w:sz w:val="24"/>
          <w:szCs w:val="24"/>
        </w:rPr>
        <w:t>1. 发展机遇</w:t>
      </w:r>
    </w:p>
    <w:p w14:paraId="0C9A5A94">
      <w:pPr>
        <w:spacing w:after="0" w:line="360" w:lineRule="auto"/>
        <w:ind w:firstLine="480"/>
        <w:jc w:val="both"/>
        <w:rPr>
          <w:rFonts w:ascii="宋体" w:hAnsi="宋体" w:eastAsia="宋体" w:cs="宋体"/>
          <w:sz w:val="24"/>
          <w:szCs w:val="24"/>
        </w:rPr>
      </w:pPr>
      <w:r>
        <w:rPr>
          <w:rFonts w:ascii="宋体" w:hAnsi="宋体" w:eastAsia="宋体" w:cs="宋体"/>
          <w:b/>
          <w:bCs/>
          <w:sz w:val="24"/>
          <w:szCs w:val="24"/>
        </w:rPr>
        <w:t>一是APEC重大国际窗口加持。</w:t>
      </w:r>
      <w:r>
        <w:rPr>
          <w:rFonts w:ascii="宋体" w:hAnsi="宋体" w:eastAsia="宋体" w:cs="宋体"/>
          <w:sz w:val="24"/>
          <w:szCs w:val="24"/>
        </w:rPr>
        <w:t>2026年深圳APEC会议将吸引大量海外客商、游客到访坪山，市场对本地化双语文旅素材需求迫切，江岭复合型本土文化可借助会议实现海外知名度快速提升。</w:t>
      </w:r>
    </w:p>
    <w:p w14:paraId="008C36B7">
      <w:pPr>
        <w:spacing w:after="0" w:line="360" w:lineRule="auto"/>
        <w:ind w:firstLine="480"/>
        <w:jc w:val="both"/>
        <w:rPr>
          <w:rFonts w:ascii="宋体" w:hAnsi="宋体" w:eastAsia="宋体" w:cs="宋体"/>
          <w:sz w:val="24"/>
          <w:szCs w:val="24"/>
        </w:rPr>
      </w:pPr>
      <w:r>
        <w:rPr>
          <w:rFonts w:ascii="宋体" w:hAnsi="宋体" w:eastAsia="宋体" w:cs="宋体"/>
          <w:b/>
          <w:bCs/>
          <w:sz w:val="24"/>
          <w:szCs w:val="24"/>
        </w:rPr>
        <w:t>二是海内外短视频平台降低出海门槛。</w:t>
      </w:r>
      <w:r>
        <w:rPr>
          <w:rFonts w:ascii="宋体" w:hAnsi="宋体" w:eastAsia="宋体" w:cs="宋体"/>
          <w:sz w:val="24"/>
          <w:szCs w:val="24"/>
        </w:rPr>
        <w:t>抖音、视频号、YouTube、TikTok等可视化传播渠道成熟，轻量化短视频成本低、受众广，便于向全球传递客家文化。</w:t>
      </w:r>
    </w:p>
    <w:p w14:paraId="776246D4">
      <w:pPr>
        <w:spacing w:after="0" w:line="360" w:lineRule="auto"/>
        <w:ind w:firstLine="480"/>
        <w:jc w:val="both"/>
      </w:pPr>
      <w:r>
        <w:rPr>
          <w:rFonts w:ascii="宋体" w:hAnsi="宋体" w:eastAsia="宋体" w:cs="宋体"/>
          <w:b/>
          <w:bCs/>
          <w:sz w:val="24"/>
          <w:szCs w:val="24"/>
        </w:rPr>
        <w:t>三是省级"百千万工程"政策支持高校基层结对。</w:t>
      </w:r>
      <w:r>
        <w:rPr>
          <w:rFonts w:ascii="宋体" w:hAnsi="宋体" w:eastAsia="宋体" w:cs="宋体"/>
          <w:sz w:val="24"/>
          <w:szCs w:val="24"/>
        </w:rPr>
        <w:t>团队已与社区达成共建意向，后续落地大学生社会实践基地，持续输送外语专业学生，保障双语内容长期稳定产出。</w:t>
      </w:r>
    </w:p>
    <w:p w14:paraId="57472C6E">
      <w:pPr>
        <w:pStyle w:val="4"/>
        <w:spacing w:before="120" w:after="120" w:line="360" w:lineRule="auto"/>
      </w:pPr>
      <w:r>
        <w:rPr>
          <w:rFonts w:ascii="黑体" w:hAnsi="黑体" w:eastAsia="黑体" w:cs="黑体"/>
          <w:b/>
          <w:bCs/>
          <w:sz w:val="24"/>
          <w:szCs w:val="24"/>
        </w:rPr>
        <w:t>2. 潜在竞争风险</w:t>
      </w:r>
    </w:p>
    <w:p w14:paraId="1013A1EA">
      <w:pPr>
        <w:spacing w:after="0" w:line="360" w:lineRule="auto"/>
        <w:ind w:firstLine="480"/>
        <w:jc w:val="both"/>
      </w:pPr>
      <w:r>
        <w:rPr>
          <w:rFonts w:ascii="宋体" w:hAnsi="宋体" w:eastAsia="宋体" w:cs="宋体"/>
          <w:sz w:val="24"/>
          <w:szCs w:val="24"/>
        </w:rPr>
        <w:t>深圳甘坑客家小镇、鹤湖新居、大鹏所城等成熟客家景区已完成完整双语宣传体系，海外游客认知基础更强。若江岭未能快速补齐多语种传播短板、凸显"围屋+戏剧+侨乡"差异化标签，将错失APEC宣传窗口期。同时本地客家方言、传统民俗在青少年群体传承度持续走低，年轻一代对本土客家文化的认知较为薄弱，长此以往将直接削弱客家文化对外传播的内生动力与长期影响力。</w:t>
      </w:r>
    </w:p>
    <w:p w14:paraId="0F51E2EE">
      <w:pPr>
        <w:pStyle w:val="3"/>
        <w:spacing w:before="240" w:after="120" w:line="360" w:lineRule="auto"/>
      </w:pPr>
      <w:r>
        <w:rPr>
          <w:rFonts w:ascii="黑体" w:hAnsi="黑体" w:eastAsia="黑体" w:cs="黑体"/>
          <w:b/>
          <w:bCs/>
          <w:sz w:val="28"/>
          <w:szCs w:val="28"/>
        </w:rPr>
        <w:t>（四）综合现状研判</w:t>
      </w:r>
    </w:p>
    <w:p w14:paraId="68FEC6F9">
      <w:pPr>
        <w:spacing w:after="0" w:line="360" w:lineRule="auto"/>
        <w:ind w:firstLine="480"/>
        <w:jc w:val="both"/>
        <w:rPr>
          <w:rFonts w:ascii="宋体" w:hAnsi="宋体" w:eastAsia="宋体" w:cs="宋体"/>
          <w:sz w:val="24"/>
          <w:szCs w:val="24"/>
        </w:rPr>
      </w:pPr>
      <w:r>
        <w:rPr>
          <w:rFonts w:ascii="宋体" w:hAnsi="宋体" w:eastAsia="宋体" w:cs="宋体"/>
          <w:sz w:val="24"/>
          <w:szCs w:val="24"/>
        </w:rPr>
        <w:t>整体来看，江岭社区双语传播呈现"优质文化资源突出、国际化宣传基础薄弱、重大发展机遇与同业竞争压力并存"格局。多元文化资源与稳定校地合作为国际化传播奠定基础，但多语种物料空白、公益外语服务缺位、文化品牌碎片化三重短板相互制约，本土文化难以走向海外。当前APEC会议临近，周边文旅项目已先行布局双语宣传，江岭必须尽快补齐传播短板，打造专属差异化文化品牌，抓住短期国际传播窗口期。</w:t>
      </w:r>
    </w:p>
    <w:p w14:paraId="27E68168">
      <w:pPr>
        <w:spacing w:after="0" w:line="360" w:lineRule="auto"/>
        <w:ind w:firstLine="480"/>
        <w:jc w:val="both"/>
        <w:rPr>
          <w:rFonts w:ascii="宋体" w:hAnsi="宋体" w:eastAsia="宋体" w:cs="宋体"/>
          <w:sz w:val="24"/>
          <w:szCs w:val="24"/>
        </w:rPr>
      </w:pPr>
    </w:p>
    <w:p w14:paraId="402284A1">
      <w:pPr>
        <w:spacing w:after="0" w:line="360" w:lineRule="auto"/>
        <w:ind w:firstLine="480"/>
        <w:jc w:val="both"/>
      </w:pPr>
      <w:r>
        <w:rPr>
          <w:rFonts w:ascii="黑体" w:hAnsi="黑体" w:eastAsia="黑体" w:cs="黑体"/>
          <w:b/>
          <w:bCs/>
          <w:sz w:val="32"/>
          <w:szCs w:val="32"/>
        </w:rPr>
        <w:t>三、本次三下乡实践落地核心成果</w:t>
      </w:r>
    </w:p>
    <w:p w14:paraId="4303D8AD">
      <w:pPr>
        <w:spacing w:after="0" w:line="360" w:lineRule="auto"/>
        <w:ind w:firstLine="480"/>
        <w:jc w:val="both"/>
      </w:pPr>
      <w:r>
        <w:rPr>
          <w:rFonts w:ascii="宋体" w:hAnsi="宋体" w:eastAsia="宋体" w:cs="宋体"/>
          <w:sz w:val="24"/>
          <w:szCs w:val="24"/>
        </w:rPr>
        <w:t>本次7天驻点实践全部成果</w:t>
      </w:r>
      <w:r>
        <w:rPr>
          <w:rFonts w:hint="eastAsia" w:cs="宋体"/>
          <w:sz w:val="24"/>
          <w:szCs w:val="24"/>
          <w:lang w:val="en-US" w:eastAsia="zh-CN"/>
        </w:rPr>
        <w:t>已经</w:t>
      </w:r>
      <w:r>
        <w:rPr>
          <w:rFonts w:ascii="宋体" w:hAnsi="宋体" w:eastAsia="宋体" w:cs="宋体"/>
          <w:sz w:val="24"/>
          <w:szCs w:val="24"/>
        </w:rPr>
        <w:t>交付社区投入使用，三大落地成果如下：</w:t>
      </w:r>
    </w:p>
    <w:p w14:paraId="606E75F6">
      <w:pPr>
        <w:pStyle w:val="3"/>
        <w:spacing w:before="240" w:after="120" w:line="360" w:lineRule="auto"/>
      </w:pPr>
      <w:r>
        <w:rPr>
          <w:rFonts w:ascii="黑体" w:hAnsi="黑体" w:eastAsia="黑体" w:cs="黑体"/>
          <w:b/>
          <w:bCs/>
          <w:sz w:val="28"/>
          <w:szCs w:val="28"/>
        </w:rPr>
        <w:t>（一）APEC主题少儿双语公益课堂</w:t>
      </w:r>
    </w:p>
    <w:p w14:paraId="43697AF6">
      <w:pPr>
        <w:spacing w:after="0" w:line="360" w:lineRule="auto"/>
        <w:ind w:firstLine="480"/>
        <w:jc w:val="both"/>
        <w:rPr>
          <w:rFonts w:ascii="宋体" w:hAnsi="宋体" w:eastAsia="宋体" w:cs="宋体"/>
          <w:sz w:val="24"/>
          <w:szCs w:val="24"/>
        </w:rPr>
      </w:pPr>
      <w:r>
        <w:rPr>
          <w:rFonts w:ascii="宋体" w:hAnsi="宋体" w:eastAsia="宋体" w:cs="宋体"/>
          <w:sz w:val="24"/>
          <w:szCs w:val="24"/>
        </w:rPr>
        <w:t>7月4日至7月9日连续6天开设免费公益双语课，覆盖社区</w:t>
      </w:r>
      <w:r>
        <w:rPr>
          <w:rFonts w:hint="eastAsia" w:cs="宋体"/>
          <w:sz w:val="24"/>
          <w:szCs w:val="24"/>
          <w:lang w:val="en-US" w:eastAsia="zh-CN"/>
        </w:rPr>
        <w:t>40</w:t>
      </w:r>
      <w:r>
        <w:rPr>
          <w:rFonts w:ascii="宋体" w:hAnsi="宋体" w:eastAsia="宋体" w:cs="宋体"/>
          <w:sz w:val="24"/>
          <w:szCs w:val="24"/>
        </w:rPr>
        <w:t>余名中小学生，结合游戏、儿歌、角色扮演适配低龄儿童学习特点，每日课后开展教学复盘动态优化课程内容：</w:t>
      </w:r>
    </w:p>
    <w:p w14:paraId="00D12009">
      <w:pPr>
        <w:spacing w:after="0" w:line="36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596005" cy="2291080"/>
            <wp:effectExtent l="0" t="0" r="635" b="10160"/>
            <wp:docPr id="4" name="图片 4" descr="DJI_20260705102048_0285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JI_20260705102048_0285_D"/>
                    <pic:cNvPicPr>
                      <a:picLocks noChangeAspect="1"/>
                    </pic:cNvPicPr>
                  </pic:nvPicPr>
                  <pic:blipFill>
                    <a:blip r:embed="rId8"/>
                    <a:srcRect l="20010" t="9412"/>
                    <a:stretch>
                      <a:fillRect/>
                    </a:stretch>
                  </pic:blipFill>
                  <pic:spPr>
                    <a:xfrm>
                      <a:off x="0" y="0"/>
                      <a:ext cx="3596005" cy="2291080"/>
                    </a:xfrm>
                    <a:prstGeom prst="rect">
                      <a:avLst/>
                    </a:prstGeom>
                  </pic:spPr>
                </pic:pic>
              </a:graphicData>
            </a:graphic>
          </wp:inline>
        </w:drawing>
      </w:r>
    </w:p>
    <w:p w14:paraId="0FB73535">
      <w:pPr>
        <w:spacing w:after="0" w:line="360" w:lineRule="auto"/>
        <w:ind w:firstLine="480"/>
        <w:jc w:val="both"/>
      </w:pPr>
      <w:r>
        <w:rPr>
          <w:rFonts w:ascii="宋体" w:hAnsi="宋体" w:eastAsia="宋体" w:cs="宋体"/>
          <w:b/>
          <w:bCs/>
          <w:sz w:val="24"/>
          <w:szCs w:val="24"/>
        </w:rPr>
        <w:t>1. 7月4日双语启蒙课：</w:t>
      </w:r>
      <w:r>
        <w:rPr>
          <w:rFonts w:ascii="宋体" w:hAnsi="宋体" w:eastAsia="宋体" w:cs="宋体"/>
          <w:sz w:val="24"/>
          <w:szCs w:val="24"/>
        </w:rPr>
        <w:t>通过英文小游戏、儿歌引导学生取英文名，消除英语畏难情绪，掌握基础日常问候词汇。</w:t>
      </w:r>
    </w:p>
    <w:p w14:paraId="352A3298">
      <w:pPr>
        <w:spacing w:after="0" w:line="360" w:lineRule="auto"/>
        <w:ind w:firstLine="480"/>
        <w:jc w:val="both"/>
      </w:pPr>
      <w:r>
        <w:rPr>
          <w:rFonts w:ascii="宋体" w:hAnsi="宋体" w:eastAsia="宋体" w:cs="宋体"/>
          <w:b/>
          <w:bCs/>
          <w:sz w:val="24"/>
          <w:szCs w:val="24"/>
        </w:rPr>
        <w:t>2. 7月5日世界美食文化课：</w:t>
      </w:r>
      <w:r>
        <w:rPr>
          <w:rFonts w:ascii="宋体" w:hAnsi="宋体" w:eastAsia="宋体" w:cs="宋体"/>
          <w:sz w:val="24"/>
          <w:szCs w:val="24"/>
        </w:rPr>
        <w:t>讲解多国饮食文化，学习美食相关英文词汇，情景对话练习用英语分享喜爱食物，建立场景化表达思维。</w:t>
      </w:r>
    </w:p>
    <w:p w14:paraId="3E691F8A">
      <w:pPr>
        <w:spacing w:after="0" w:line="360" w:lineRule="auto"/>
        <w:ind w:firstLine="480"/>
        <w:jc w:val="both"/>
      </w:pPr>
      <w:r>
        <w:rPr>
          <w:rFonts w:ascii="宋体" w:hAnsi="宋体" w:eastAsia="宋体" w:cs="宋体"/>
          <w:b/>
          <w:bCs/>
          <w:sz w:val="24"/>
          <w:szCs w:val="24"/>
        </w:rPr>
        <w:t>3. 7月6日客家小导游专项课：</w:t>
      </w:r>
      <w:r>
        <w:rPr>
          <w:rFonts w:ascii="宋体" w:hAnsi="宋体" w:eastAsia="宋体" w:cs="宋体"/>
          <w:sz w:val="24"/>
          <w:szCs w:val="24"/>
        </w:rPr>
        <w:t>重点教学江岭景点、方位指路词汇句型，模拟导游讲解，同步普及客家基础民俗知识；布置手绘家乡景点、亲子英语分享作业，以"小手拉大手"带动居民参与文化传播。</w:t>
      </w:r>
    </w:p>
    <w:p w14:paraId="49124AA5">
      <w:pPr>
        <w:spacing w:after="0" w:line="360" w:lineRule="auto"/>
        <w:ind w:firstLine="480"/>
        <w:jc w:val="both"/>
      </w:pPr>
      <w:r>
        <w:rPr>
          <w:rFonts w:ascii="宋体" w:hAnsi="宋体" w:eastAsia="宋体" w:cs="宋体"/>
          <w:b/>
          <w:bCs/>
          <w:sz w:val="24"/>
          <w:szCs w:val="24"/>
        </w:rPr>
        <w:t>4. 7月7日天气主题课：</w:t>
      </w:r>
      <w:r>
        <w:rPr>
          <w:rFonts w:ascii="宋体" w:hAnsi="宋体" w:eastAsia="宋体" w:cs="宋体"/>
          <w:sz w:val="24"/>
          <w:szCs w:val="24"/>
        </w:rPr>
        <w:t>学习各类天气英文词汇与核心问答句型，搭配看图认词、单词闯关游戏巩固记忆，引导学生实时用英语描述当日天气。</w:t>
      </w:r>
    </w:p>
    <w:p w14:paraId="35421D63">
      <w:pPr>
        <w:spacing w:after="0" w:line="360" w:lineRule="auto"/>
        <w:ind w:firstLine="480"/>
        <w:jc w:val="both"/>
      </w:pPr>
      <w:r>
        <w:rPr>
          <w:rFonts w:ascii="宋体" w:hAnsi="宋体" w:eastAsia="宋体" w:cs="宋体"/>
          <w:b/>
          <w:bCs/>
          <w:sz w:val="24"/>
          <w:szCs w:val="24"/>
        </w:rPr>
        <w:t>5. 7月8日服饰穿搭联动课：</w:t>
      </w:r>
      <w:r>
        <w:rPr>
          <w:rFonts w:ascii="宋体" w:hAnsi="宋体" w:eastAsia="宋体" w:cs="宋体"/>
          <w:sz w:val="24"/>
          <w:szCs w:val="24"/>
        </w:rPr>
        <w:t>教学衣物类英文单词，开展卡片配对抢答，结合前一日天气知识点练习不同天气穿搭表达，实现知识点联动巩固。</w:t>
      </w:r>
    </w:p>
    <w:p w14:paraId="54EE8563">
      <w:pPr>
        <w:spacing w:after="0" w:line="360" w:lineRule="auto"/>
        <w:ind w:firstLine="480"/>
        <w:jc w:val="both"/>
        <w:rPr>
          <w:rFonts w:ascii="宋体" w:hAnsi="宋体" w:eastAsia="宋体" w:cs="宋体"/>
          <w:sz w:val="24"/>
          <w:szCs w:val="24"/>
        </w:rPr>
      </w:pPr>
      <w:r>
        <w:rPr>
          <w:rFonts w:ascii="宋体" w:hAnsi="宋体" w:eastAsia="宋体" w:cs="宋体"/>
          <w:b/>
          <w:bCs/>
          <w:sz w:val="24"/>
          <w:szCs w:val="24"/>
        </w:rPr>
        <w:t>6. 7月9日家乡综合复习课：</w:t>
      </w:r>
      <w:r>
        <w:rPr>
          <w:rFonts w:ascii="宋体" w:hAnsi="宋体" w:eastAsia="宋体" w:cs="宋体"/>
          <w:sz w:val="24"/>
          <w:szCs w:val="24"/>
        </w:rPr>
        <w:t>整合前五周天气、穿搭、地标全部知识点，补充长守戏剧谷、山林河湖等本地专属词汇；分组模拟双语小导游，学生可独立完成简短家乡英文介绍。</w:t>
      </w:r>
    </w:p>
    <w:p w14:paraId="3275C5EC">
      <w:pPr>
        <w:spacing w:after="0" w:line="360" w:lineRule="auto"/>
        <w:ind w:firstLine="480"/>
        <w:jc w:val="center"/>
        <w:rPr>
          <w:rFonts w:ascii="宋体" w:hAnsi="宋体" w:eastAsia="宋体" w:cs="宋体"/>
          <w:sz w:val="24"/>
          <w:szCs w:val="24"/>
        </w:rPr>
      </w:pPr>
      <w:r>
        <w:rPr>
          <w:rFonts w:hint="eastAsia" w:ascii="宋体" w:hAnsi="宋体" w:eastAsia="宋体" w:cs="宋体"/>
          <w:sz w:val="24"/>
          <w:szCs w:val="24"/>
          <w:lang w:eastAsia="zh-CN"/>
        </w:rPr>
        <w:drawing>
          <wp:inline distT="0" distB="0" distL="114300" distR="114300">
            <wp:extent cx="3526790" cy="1984375"/>
            <wp:effectExtent l="0" t="0" r="8890" b="12065"/>
            <wp:docPr id="1" name="图片 1" descr="DJI_20260705103633_0316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JI_20260705103633_0316_D"/>
                    <pic:cNvPicPr>
                      <a:picLocks noChangeAspect="1"/>
                    </pic:cNvPicPr>
                  </pic:nvPicPr>
                  <pic:blipFill>
                    <a:blip r:embed="rId9"/>
                    <a:stretch>
                      <a:fillRect/>
                    </a:stretch>
                  </pic:blipFill>
                  <pic:spPr>
                    <a:xfrm>
                      <a:off x="0" y="0"/>
                      <a:ext cx="3526790" cy="1984375"/>
                    </a:xfrm>
                    <a:prstGeom prst="rect">
                      <a:avLst/>
                    </a:prstGeom>
                  </pic:spPr>
                </pic:pic>
              </a:graphicData>
            </a:graphic>
          </wp:inline>
        </w:drawing>
      </w:r>
    </w:p>
    <w:p w14:paraId="3F2CCD72">
      <w:pPr>
        <w:spacing w:after="0" w:line="360" w:lineRule="auto"/>
        <w:ind w:firstLine="480"/>
        <w:jc w:val="both"/>
        <w:rPr>
          <w:rFonts w:ascii="宋体" w:hAnsi="宋体" w:eastAsia="宋体" w:cs="宋体"/>
          <w:sz w:val="24"/>
          <w:szCs w:val="24"/>
        </w:rPr>
      </w:pPr>
      <w:r>
        <w:rPr>
          <w:rFonts w:hint="eastAsia" w:cs="宋体"/>
          <w:sz w:val="24"/>
          <w:szCs w:val="24"/>
          <w:lang w:val="en-US" w:eastAsia="zh-CN"/>
        </w:rPr>
        <w:t>以上</w:t>
      </w:r>
      <w:r>
        <w:rPr>
          <w:rFonts w:ascii="宋体" w:hAnsi="宋体" w:eastAsia="宋体" w:cs="宋体"/>
          <w:sz w:val="24"/>
          <w:szCs w:val="24"/>
        </w:rPr>
        <w:t>成果将为社区后续常态化开展多期公益外语课提供扎实支撑。 本次移交的全套标准化教学资料，覆盖从课程导入、互动环节设计到课后效果评估的全流程内容，社区无需从零搭建教学体系，即可快速落地后续多期常态化公益外语课程。</w:t>
      </w:r>
    </w:p>
    <w:p w14:paraId="043F9BCE">
      <w:pPr>
        <w:pStyle w:val="3"/>
        <w:spacing w:before="240" w:after="120" w:line="360" w:lineRule="auto"/>
      </w:pPr>
      <w:r>
        <w:rPr>
          <w:rFonts w:ascii="黑体" w:hAnsi="黑体" w:eastAsia="黑体" w:cs="黑体"/>
          <w:b/>
          <w:bCs/>
          <w:sz w:val="28"/>
          <w:szCs w:val="28"/>
        </w:rPr>
        <w:t>（二）11处文旅点位中英</w:t>
      </w:r>
      <w:r>
        <w:rPr>
          <w:rFonts w:hint="eastAsia" w:cs="黑体"/>
          <w:b/>
          <w:bCs/>
          <w:sz w:val="28"/>
          <w:szCs w:val="28"/>
          <w:lang w:val="en-US" w:eastAsia="zh-CN"/>
        </w:rPr>
        <w:t>双</w:t>
      </w:r>
      <w:r>
        <w:rPr>
          <w:rFonts w:ascii="黑体" w:hAnsi="黑体" w:eastAsia="黑体" w:cs="黑体"/>
          <w:b/>
          <w:bCs/>
          <w:sz w:val="28"/>
          <w:szCs w:val="28"/>
        </w:rPr>
        <w:t>语素材库</w:t>
      </w:r>
    </w:p>
    <w:p w14:paraId="33A8D33D">
      <w:pPr>
        <w:spacing w:after="0" w:line="360" w:lineRule="auto"/>
        <w:ind w:firstLine="480"/>
        <w:jc w:val="both"/>
        <w:rPr>
          <w:rFonts w:ascii="宋体" w:hAnsi="宋体" w:eastAsia="宋体" w:cs="宋体"/>
          <w:sz w:val="24"/>
          <w:szCs w:val="24"/>
        </w:rPr>
      </w:pPr>
      <w:r>
        <w:rPr>
          <w:rFonts w:ascii="宋体" w:hAnsi="宋体" w:eastAsia="宋体" w:cs="宋体"/>
          <w:sz w:val="24"/>
          <w:szCs w:val="24"/>
        </w:rPr>
        <w:t>团队实地走访全部文旅点位，梳理每一处景点历史、民俗、红色故事、侨乡特色，独立撰写</w:t>
      </w:r>
      <w:r>
        <w:rPr>
          <w:rFonts w:hint="eastAsia" w:cs="宋体"/>
          <w:sz w:val="24"/>
          <w:szCs w:val="24"/>
          <w:lang w:val="en-US" w:eastAsia="zh-CN"/>
        </w:rPr>
        <w:t>中</w:t>
      </w:r>
      <w:r>
        <w:rPr>
          <w:rFonts w:ascii="宋体" w:hAnsi="宋体" w:eastAsia="宋体" w:cs="宋体"/>
          <w:sz w:val="24"/>
          <w:szCs w:val="24"/>
        </w:rPr>
        <w:t>英双语介绍文稿，经专业教师校对修正，规避机械翻译生硬问题，符合海外受众跨文化阅读习惯。整套素材可直接制作景区双语导览牌、线上电子导览、宣传手册，填补社区多语种宣传资料空白。</w:t>
      </w:r>
    </w:p>
    <w:p w14:paraId="35BF735F">
      <w:pPr>
        <w:spacing w:after="0" w:line="360" w:lineRule="auto"/>
        <w:ind w:firstLine="480"/>
        <w:jc w:val="both"/>
        <w:rPr>
          <w:rFonts w:hint="eastAsia" w:cs="宋体"/>
          <w:sz w:val="24"/>
          <w:szCs w:val="24"/>
          <w:lang w:eastAsia="zh-CN"/>
        </w:rPr>
      </w:pPr>
      <w:r>
        <w:rPr>
          <w:rFonts w:ascii="宋体" w:hAnsi="宋体" w:eastAsia="宋体" w:cs="宋体"/>
          <w:sz w:val="24"/>
          <w:szCs w:val="24"/>
        </w:rPr>
        <w:t>厚翻译理论指导下的乡土文旅文本翻译，能够在译文内补充文化背景注解，避免海外受众出现文化理解隔阂，提升地方文旅对外宣传的可读性与感染力</w:t>
      </w:r>
      <w:r>
        <w:rPr>
          <w:rFonts w:hint="eastAsia" w:cs="宋体"/>
          <w:sz w:val="24"/>
          <w:szCs w:val="24"/>
          <w:lang w:eastAsia="zh-CN"/>
        </w:rPr>
        <w:t>。</w:t>
      </w:r>
    </w:p>
    <w:p w14:paraId="58F22493">
      <w:pPr>
        <w:spacing w:after="0" w:line="360" w:lineRule="auto"/>
        <w:ind w:firstLine="480"/>
        <w:jc w:val="center"/>
        <w:rPr>
          <w:rFonts w:hint="eastAsia" w:cs="宋体"/>
          <w:sz w:val="24"/>
          <w:szCs w:val="24"/>
          <w:lang w:eastAsia="zh-CN"/>
        </w:rPr>
      </w:pPr>
      <w:r>
        <w:rPr>
          <w:rFonts w:hint="eastAsia" w:cs="宋体"/>
          <w:sz w:val="24"/>
          <w:szCs w:val="24"/>
          <w:lang w:eastAsia="zh-CN"/>
        </w:rPr>
        <w:drawing>
          <wp:inline distT="0" distB="0" distL="114300" distR="114300">
            <wp:extent cx="3484245" cy="1960245"/>
            <wp:effectExtent l="0" t="0" r="5715" b="5715"/>
            <wp:docPr id="2" name="图片 2" descr="赤坳河绿道 廉政绿道 江岭社区公园介绍视频(3)-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赤坳河绿道 廉政绿道 江岭社区公园介绍视频(3)-封面"/>
                    <pic:cNvPicPr>
                      <a:picLocks noChangeAspect="1"/>
                    </pic:cNvPicPr>
                  </pic:nvPicPr>
                  <pic:blipFill>
                    <a:blip r:embed="rId10"/>
                    <a:stretch>
                      <a:fillRect/>
                    </a:stretch>
                  </pic:blipFill>
                  <pic:spPr>
                    <a:xfrm>
                      <a:off x="0" y="0"/>
                      <a:ext cx="3484245" cy="1960245"/>
                    </a:xfrm>
                    <a:prstGeom prst="rect">
                      <a:avLst/>
                    </a:prstGeom>
                  </pic:spPr>
                </pic:pic>
              </a:graphicData>
            </a:graphic>
          </wp:inline>
        </w:drawing>
      </w:r>
    </w:p>
    <w:p w14:paraId="4D72FA13">
      <w:pPr>
        <w:pStyle w:val="3"/>
        <w:numPr>
          <w:ilvl w:val="0"/>
          <w:numId w:val="4"/>
        </w:numPr>
        <w:spacing w:before="240" w:after="120" w:line="360" w:lineRule="auto"/>
        <w:rPr>
          <w:rFonts w:ascii="黑体" w:hAnsi="黑体" w:eastAsia="黑体" w:cs="黑体"/>
          <w:b/>
          <w:bCs/>
          <w:sz w:val="28"/>
          <w:szCs w:val="28"/>
        </w:rPr>
      </w:pPr>
      <w:r>
        <w:rPr>
          <w:rFonts w:hint="eastAsia" w:cs="黑体"/>
          <w:b/>
          <w:bCs/>
          <w:sz w:val="28"/>
          <w:szCs w:val="28"/>
          <w:lang w:val="en-US" w:eastAsia="zh-CN"/>
        </w:rPr>
        <w:t>制作</w:t>
      </w:r>
      <w:r>
        <w:rPr>
          <w:rFonts w:ascii="黑体" w:hAnsi="黑体" w:eastAsia="黑体" w:cs="黑体"/>
          <w:b/>
          <w:bCs/>
          <w:sz w:val="28"/>
          <w:szCs w:val="28"/>
        </w:rPr>
        <w:t>中英德三语宣传片</w:t>
      </w:r>
    </w:p>
    <w:p w14:paraId="6ECCDD64">
      <w:pPr>
        <w:spacing w:after="0" w:line="360" w:lineRule="auto"/>
        <w:ind w:firstLine="480"/>
        <w:jc w:val="both"/>
        <w:rPr>
          <w:rFonts w:ascii="宋体" w:hAnsi="宋体" w:eastAsia="宋体" w:cs="宋体"/>
          <w:sz w:val="24"/>
          <w:szCs w:val="24"/>
        </w:rPr>
      </w:pPr>
      <w:r>
        <w:rPr>
          <w:rFonts w:ascii="宋体" w:hAnsi="宋体" w:eastAsia="宋体" w:cs="宋体"/>
          <w:sz w:val="24"/>
          <w:szCs w:val="24"/>
        </w:rPr>
        <w:t>本次我们团队采用无人机全域航拍+地面多点跟拍的组合取景方案：空中镜头完整留存长守围屋建筑群的整体格局与历史风貌，地面机位深度记录围屋居民的日常烟火、传承已久的客家民俗活动，还有在地特色双语文化课堂的真实实践场景，基于这些一手素材针对性打造出两部定位互补的客家文化对外传播作品：第一部是3分20秒的三语宣传片《江岭客家，有戏》，影片设置围屋全景、客家历史、社区烟火、文化传承、戏剧活化、尾声六大篇章，全程搭配英德双语字幕，镜头风格平实贴近生活，适配海内外不同受众的审美习惯，可覆盖线上内容平台投放、线下商户轮播、社区文化展厅展映等多场景使用。</w:t>
      </w:r>
    </w:p>
    <w:p w14:paraId="1E210DD6">
      <w:pPr>
        <w:spacing w:after="0" w:line="36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668395" cy="2115185"/>
            <wp:effectExtent l="0" t="0" r="4445" b="3175"/>
            <wp:docPr id="6" name="图片 6" descr="DJI_20260707100720_0419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JI_20260707100720_0419_D"/>
                    <pic:cNvPicPr>
                      <a:picLocks noChangeAspect="1"/>
                    </pic:cNvPicPr>
                  </pic:nvPicPr>
                  <pic:blipFill>
                    <a:blip r:embed="rId11"/>
                    <a:stretch>
                      <a:fillRect/>
                    </a:stretch>
                  </pic:blipFill>
                  <pic:spPr>
                    <a:xfrm>
                      <a:off x="0" y="0"/>
                      <a:ext cx="3668395" cy="2115185"/>
                    </a:xfrm>
                    <a:prstGeom prst="rect">
                      <a:avLst/>
                    </a:prstGeom>
                  </pic:spPr>
                </pic:pic>
              </a:graphicData>
            </a:graphic>
          </wp:inline>
        </w:drawing>
      </w:r>
    </w:p>
    <w:p w14:paraId="58EAB699">
      <w:pPr>
        <w:spacing w:after="0" w:line="360" w:lineRule="auto"/>
        <w:ind w:firstLine="480"/>
        <w:jc w:val="both"/>
      </w:pPr>
      <w:r>
        <w:rPr>
          <w:rFonts w:ascii="宋体" w:hAnsi="宋体" w:eastAsia="宋体" w:cs="宋体"/>
          <w:sz w:val="24"/>
          <w:szCs w:val="24"/>
        </w:rPr>
        <w:t>另一部是时长5分钟的德语专属宣传片《华南新生，客音无界》，我们以赛事级标准打磨内容表达与德语译制精度，目前这部作品已正式参评第九届“外教社杯”全国高校学生跨文化能力大赛“讲述中国 传播中国”短视频德语组赛事，两片同根呼应，既面向德语区受众搭建跨文化理解的沟通桥梁，也以青年视角把鲜活的客家文化故事讲给世界</w:t>
      </w:r>
      <w:r>
        <w:rPr>
          <w:rFonts w:hint="eastAsia" w:cs="宋体"/>
          <w:sz w:val="24"/>
          <w:szCs w:val="24"/>
          <w:lang w:eastAsia="zh-CN"/>
        </w:rPr>
        <w:t>。</w:t>
      </w:r>
    </w:p>
    <w:p w14:paraId="47989563">
      <w:pPr>
        <w:numPr>
          <w:ilvl w:val="0"/>
          <w:numId w:val="0"/>
        </w:numPr>
      </w:pPr>
    </w:p>
    <w:p w14:paraId="321A2C82">
      <w:pPr>
        <w:numPr>
          <w:ilvl w:val="0"/>
          <w:numId w:val="0"/>
        </w:numPr>
        <w:jc w:val="center"/>
        <w:rPr>
          <w:rFonts w:hint="eastAsia" w:eastAsia="宋体"/>
          <w:lang w:eastAsia="zh-CN"/>
        </w:rPr>
      </w:pPr>
      <w:r>
        <w:rPr>
          <w:rFonts w:hint="eastAsia" w:eastAsia="宋体"/>
          <w:lang w:eastAsia="zh-CN"/>
        </w:rPr>
        <w:drawing>
          <wp:inline distT="0" distB="0" distL="114300" distR="114300">
            <wp:extent cx="3338830" cy="1878330"/>
            <wp:effectExtent l="0" t="0" r="13970" b="11430"/>
            <wp:docPr id="3" name="图片 3" descr="江岭客家，有戏 最终版-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江岭客家，有戏 最终版-封面"/>
                    <pic:cNvPicPr>
                      <a:picLocks noChangeAspect="1"/>
                    </pic:cNvPicPr>
                  </pic:nvPicPr>
                  <pic:blipFill>
                    <a:blip r:embed="rId12"/>
                    <a:stretch>
                      <a:fillRect/>
                    </a:stretch>
                  </pic:blipFill>
                  <pic:spPr>
                    <a:xfrm>
                      <a:off x="0" y="0"/>
                      <a:ext cx="3338830" cy="1878330"/>
                    </a:xfrm>
                    <a:prstGeom prst="rect">
                      <a:avLst/>
                    </a:prstGeom>
                  </pic:spPr>
                </pic:pic>
              </a:graphicData>
            </a:graphic>
          </wp:inline>
        </w:drawing>
      </w:r>
    </w:p>
    <w:p w14:paraId="4E695519">
      <w:pPr>
        <w:numPr>
          <w:ilvl w:val="0"/>
          <w:numId w:val="0"/>
        </w:numPr>
        <w:rPr>
          <w:rFonts w:hint="eastAsia" w:eastAsia="宋体"/>
          <w:lang w:eastAsia="zh-CN"/>
        </w:rPr>
      </w:pPr>
    </w:p>
    <w:p w14:paraId="1225D7DB">
      <w:pPr>
        <w:numPr>
          <w:ilvl w:val="0"/>
          <w:numId w:val="0"/>
        </w:numPr>
        <w:jc w:val="center"/>
        <w:rPr>
          <w:rFonts w:hint="eastAsia" w:eastAsia="宋体"/>
          <w:lang w:eastAsia="zh-CN"/>
        </w:rPr>
      </w:pPr>
      <w:r>
        <w:rPr>
          <w:rFonts w:hint="eastAsia" w:eastAsia="宋体"/>
          <w:lang w:eastAsia="zh-CN"/>
        </w:rPr>
        <w:drawing>
          <wp:inline distT="0" distB="0" distL="114300" distR="114300">
            <wp:extent cx="3334385" cy="1875790"/>
            <wp:effectExtent l="0" t="0" r="3175" b="13970"/>
            <wp:docPr id="7" name="图片 7" descr="8月25日-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月25日-封面"/>
                    <pic:cNvPicPr>
                      <a:picLocks noChangeAspect="1"/>
                    </pic:cNvPicPr>
                  </pic:nvPicPr>
                  <pic:blipFill>
                    <a:blip r:embed="rId13"/>
                    <a:stretch>
                      <a:fillRect/>
                    </a:stretch>
                  </pic:blipFill>
                  <pic:spPr>
                    <a:xfrm>
                      <a:off x="0" y="0"/>
                      <a:ext cx="3334385" cy="1875790"/>
                    </a:xfrm>
                    <a:prstGeom prst="rect">
                      <a:avLst/>
                    </a:prstGeom>
                  </pic:spPr>
                </pic:pic>
              </a:graphicData>
            </a:graphic>
          </wp:inline>
        </w:drawing>
      </w:r>
    </w:p>
    <w:p w14:paraId="04334639">
      <w:pPr>
        <w:pStyle w:val="2"/>
        <w:spacing w:before="360" w:after="240" w:line="360" w:lineRule="auto"/>
        <w:jc w:val="both"/>
      </w:pPr>
      <w:r>
        <w:rPr>
          <w:rFonts w:ascii="黑体" w:hAnsi="黑体" w:eastAsia="黑体" w:cs="黑体"/>
          <w:b/>
          <w:bCs/>
          <w:sz w:val="32"/>
          <w:szCs w:val="32"/>
        </w:rPr>
        <w:t>五、实践总结与结语</w:t>
      </w:r>
    </w:p>
    <w:p w14:paraId="1168B247">
      <w:pPr>
        <w:spacing w:after="0" w:line="360" w:lineRule="auto"/>
        <w:ind w:firstLine="480"/>
        <w:jc w:val="both"/>
        <w:rPr>
          <w:rFonts w:ascii="宋体" w:hAnsi="宋体" w:eastAsia="宋体" w:cs="宋体"/>
          <w:sz w:val="24"/>
          <w:szCs w:val="24"/>
        </w:rPr>
      </w:pPr>
      <w:r>
        <w:rPr>
          <w:rFonts w:ascii="宋体" w:hAnsi="宋体" w:eastAsia="宋体" w:cs="宋体"/>
          <w:sz w:val="24"/>
          <w:szCs w:val="24"/>
        </w:rPr>
        <w:t>中华优秀传统文化国际化传播是长期持续性工作，无法依靠单次短期实践完成。将客家围屋历史转化为适配海外的多语种文字，用镜头记录本土居民真实烟火生活，让青少年掌握外语讲述家乡故事，是本次实践迈出的坚实一步。随着校地共建大学生社会实践基地挂牌，未来将持续组织外国语学院学生开展长效驻点服务，持续完善双语宣传体系，助力江岭客家文化借助2026年深圳APEC国际窗口走向世界，为基层文旅国际化、乡村文化振兴提供可复制实践样本。</w:t>
      </w:r>
    </w:p>
    <w:p w14:paraId="38DF9888">
      <w:pPr>
        <w:spacing w:after="0" w:line="360" w:lineRule="auto"/>
        <w:ind w:firstLine="480"/>
        <w:jc w:val="both"/>
        <w:rPr>
          <w:rFonts w:hint="default" w:ascii="宋体" w:hAnsi="宋体" w:eastAsia="宋体" w:cs="宋体"/>
          <w:sz w:val="24"/>
          <w:szCs w:val="24"/>
          <w:lang w:val="en-US" w:eastAsia="zh-CN"/>
        </w:rPr>
      </w:pPr>
      <w:r>
        <w:rPr>
          <w:rFonts w:ascii="宋体" w:hAnsi="宋体" w:eastAsia="宋体" w:cs="宋体"/>
          <w:sz w:val="24"/>
          <w:szCs w:val="24"/>
        </w:rPr>
        <w:t>宣传片末尾有这样一句话："江岭客家，下一幕，由你共启。"作为外语专业的学生团队，我们理解一次暑期实践所能改变的有限，但它至少是一个起点：三语素材库已经建立，第一支双语宣传片已经完成，公益课堂已经开讲，首批社区"小小导赏员"已经开始练习用英语介绍家乡。随着校地合作基地的正式挂牌，后续将有更多批次的学生继续这项工作。文化的对外传播不是一蹴而就的工程，而是一点一滴的积累——将围屋的故事译成另一种语言，将阿婆的方言剪进短视频，将客家的日常变成世界看得懂的影像。这条路不短，但</w:t>
      </w:r>
      <w:r>
        <w:rPr>
          <w:rFonts w:hint="eastAsia" w:cs="宋体"/>
          <w:sz w:val="24"/>
          <w:szCs w:val="24"/>
          <w:lang w:val="en-US" w:eastAsia="zh-CN"/>
        </w:rPr>
        <w:t>我们已经在路上了。</w:t>
      </w:r>
    </w:p>
    <w:p w14:paraId="489CD19A">
      <w:pPr>
        <w:spacing w:after="0" w:line="360" w:lineRule="auto"/>
        <w:ind w:firstLine="480"/>
        <w:jc w:val="center"/>
        <w:rPr>
          <w:rFonts w:hint="eastAsia" w:cs="宋体"/>
          <w:sz w:val="30"/>
          <w:szCs w:val="30"/>
          <w:lang w:eastAsia="zh-CN"/>
        </w:rPr>
      </w:pPr>
      <w:r>
        <w:rPr>
          <w:rFonts w:hint="eastAsia" w:cs="宋体"/>
          <w:sz w:val="30"/>
          <w:szCs w:val="30"/>
          <w:lang w:eastAsia="zh-CN"/>
        </w:rPr>
        <w:drawing>
          <wp:inline distT="0" distB="0" distL="114300" distR="114300">
            <wp:extent cx="4140835" cy="2371725"/>
            <wp:effectExtent l="0" t="0" r="4445" b="5715"/>
            <wp:docPr id="5" name="图片 5" descr="DJI_20260709104117_0495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JI_20260709104117_0495_D"/>
                    <pic:cNvPicPr>
                      <a:picLocks noChangeAspect="1"/>
                    </pic:cNvPicPr>
                  </pic:nvPicPr>
                  <pic:blipFill>
                    <a:blip r:embed="rId14"/>
                    <a:stretch>
                      <a:fillRect/>
                    </a:stretch>
                  </pic:blipFill>
                  <pic:spPr>
                    <a:xfrm>
                      <a:off x="0" y="0"/>
                      <a:ext cx="4140835" cy="2371725"/>
                    </a:xfrm>
                    <a:prstGeom prst="rect">
                      <a:avLst/>
                    </a:prstGeom>
                  </pic:spPr>
                </pic:pic>
              </a:graphicData>
            </a:graphic>
          </wp:inline>
        </w:drawing>
      </w:r>
    </w:p>
    <w:p w14:paraId="0BC6ACB4">
      <w:pPr>
        <w:spacing w:after="0" w:line="360" w:lineRule="auto"/>
        <w:ind w:firstLine="480"/>
        <w:jc w:val="both"/>
        <w:rPr>
          <w:rFonts w:hint="eastAsia" w:cs="宋体"/>
          <w:sz w:val="30"/>
          <w:szCs w:val="30"/>
          <w:lang w:eastAsia="zh-CN"/>
        </w:rPr>
      </w:pPr>
      <w:r>
        <w:rPr>
          <w:rFonts w:hint="eastAsia" w:cs="宋体"/>
          <w:sz w:val="30"/>
          <w:szCs w:val="30"/>
          <w:lang w:eastAsia="zh-CN"/>
        </w:rPr>
        <w:br w:type="textWrapping"/>
      </w:r>
    </w:p>
    <w:p w14:paraId="54557C39">
      <w:pPr>
        <w:spacing w:after="0" w:line="360" w:lineRule="auto"/>
        <w:ind w:firstLine="480"/>
        <w:jc w:val="both"/>
        <w:rPr>
          <w:rFonts w:hint="eastAsia" w:cs="宋体"/>
          <w:sz w:val="30"/>
          <w:szCs w:val="30"/>
          <w:lang w:eastAsia="zh-CN"/>
        </w:rPr>
      </w:pPr>
    </w:p>
    <w:p w14:paraId="432CA44C">
      <w:pPr>
        <w:spacing w:after="0" w:line="360" w:lineRule="auto"/>
        <w:ind w:firstLine="480"/>
        <w:jc w:val="both"/>
        <w:rPr>
          <w:rFonts w:hint="eastAsia" w:cs="宋体"/>
          <w:sz w:val="30"/>
          <w:szCs w:val="30"/>
          <w:lang w:eastAsia="zh-CN"/>
        </w:rPr>
      </w:pPr>
    </w:p>
    <w:p w14:paraId="6F6FA67C">
      <w:pPr>
        <w:spacing w:after="0" w:line="360" w:lineRule="auto"/>
        <w:ind w:firstLine="480"/>
        <w:jc w:val="both"/>
        <w:rPr>
          <w:rFonts w:hint="eastAsia" w:cs="宋体"/>
          <w:sz w:val="30"/>
          <w:szCs w:val="30"/>
          <w:lang w:eastAsia="zh-CN"/>
        </w:rPr>
      </w:pPr>
    </w:p>
    <w:p w14:paraId="0BDA0845">
      <w:pPr>
        <w:spacing w:after="0" w:line="360" w:lineRule="auto"/>
        <w:ind w:firstLine="480"/>
        <w:jc w:val="both"/>
        <w:rPr>
          <w:rFonts w:hint="eastAsia" w:cs="宋体"/>
          <w:sz w:val="30"/>
          <w:szCs w:val="30"/>
          <w:lang w:eastAsia="zh-CN"/>
        </w:rPr>
      </w:pPr>
    </w:p>
    <w:p w14:paraId="045465C7">
      <w:pPr>
        <w:spacing w:after="0" w:line="360" w:lineRule="auto"/>
        <w:ind w:firstLine="480"/>
        <w:jc w:val="both"/>
        <w:rPr>
          <w:rFonts w:hint="eastAsia" w:cs="宋体"/>
          <w:sz w:val="30"/>
          <w:szCs w:val="30"/>
          <w:lang w:eastAsia="zh-CN"/>
        </w:rPr>
      </w:pPr>
    </w:p>
    <w:p w14:paraId="6C25EBAB">
      <w:pPr>
        <w:spacing w:after="0" w:line="360" w:lineRule="auto"/>
        <w:ind w:firstLine="480"/>
        <w:jc w:val="both"/>
        <w:rPr>
          <w:rFonts w:hint="eastAsia" w:cs="宋体"/>
          <w:sz w:val="30"/>
          <w:szCs w:val="30"/>
          <w:lang w:eastAsia="zh-CN"/>
        </w:rPr>
      </w:pPr>
    </w:p>
    <w:p w14:paraId="5B4831A3">
      <w:pPr>
        <w:spacing w:after="0" w:line="360" w:lineRule="auto"/>
        <w:ind w:firstLine="480"/>
        <w:jc w:val="both"/>
        <w:rPr>
          <w:rFonts w:hint="eastAsia" w:cs="宋体"/>
          <w:sz w:val="30"/>
          <w:szCs w:val="30"/>
          <w:lang w:eastAsia="zh-CN"/>
        </w:rPr>
      </w:pPr>
    </w:p>
    <w:p w14:paraId="39AC80CE">
      <w:pPr>
        <w:spacing w:after="0" w:line="360" w:lineRule="auto"/>
        <w:ind w:firstLine="480"/>
        <w:jc w:val="both"/>
        <w:rPr>
          <w:rFonts w:hint="eastAsia" w:cs="宋体"/>
          <w:sz w:val="30"/>
          <w:szCs w:val="30"/>
          <w:lang w:eastAsia="zh-CN"/>
        </w:rPr>
      </w:pPr>
    </w:p>
    <w:p w14:paraId="243F18E0">
      <w:pPr>
        <w:spacing w:after="0" w:line="360" w:lineRule="auto"/>
        <w:ind w:firstLine="480"/>
        <w:jc w:val="both"/>
        <w:rPr>
          <w:rFonts w:hint="eastAsia" w:cs="宋体"/>
          <w:sz w:val="30"/>
          <w:szCs w:val="30"/>
          <w:lang w:eastAsia="zh-CN"/>
        </w:rPr>
      </w:pPr>
    </w:p>
    <w:p w14:paraId="5F1AC41A">
      <w:pPr>
        <w:spacing w:after="0" w:line="360" w:lineRule="auto"/>
        <w:ind w:firstLine="480"/>
        <w:jc w:val="both"/>
        <w:rPr>
          <w:rFonts w:hint="eastAsia" w:cs="宋体"/>
          <w:sz w:val="30"/>
          <w:szCs w:val="30"/>
          <w:lang w:eastAsia="zh-CN"/>
        </w:rPr>
      </w:pPr>
    </w:p>
    <w:p w14:paraId="73DF0CE4">
      <w:pPr>
        <w:spacing w:after="0" w:line="360" w:lineRule="auto"/>
        <w:ind w:firstLine="480"/>
        <w:jc w:val="both"/>
        <w:rPr>
          <w:rFonts w:hint="eastAsia" w:cs="宋体"/>
          <w:sz w:val="30"/>
          <w:szCs w:val="30"/>
          <w:lang w:eastAsia="zh-CN"/>
        </w:rPr>
      </w:pPr>
    </w:p>
    <w:p w14:paraId="73BB9205">
      <w:pPr>
        <w:spacing w:after="0" w:line="360" w:lineRule="auto"/>
        <w:ind w:firstLine="480"/>
        <w:jc w:val="both"/>
        <w:rPr>
          <w:rFonts w:hint="eastAsia" w:cs="宋体"/>
          <w:sz w:val="30"/>
          <w:szCs w:val="30"/>
          <w:lang w:eastAsia="zh-CN"/>
        </w:rPr>
      </w:pPr>
    </w:p>
    <w:p w14:paraId="30F87750">
      <w:pPr>
        <w:spacing w:after="0" w:line="360" w:lineRule="auto"/>
        <w:ind w:firstLine="480"/>
        <w:jc w:val="both"/>
        <w:rPr>
          <w:rFonts w:hint="eastAsia" w:cs="宋体"/>
          <w:sz w:val="30"/>
          <w:szCs w:val="30"/>
          <w:lang w:eastAsia="zh-CN"/>
        </w:rPr>
      </w:pPr>
    </w:p>
    <w:p w14:paraId="7CBC399F">
      <w:pPr>
        <w:spacing w:after="0" w:line="360" w:lineRule="auto"/>
        <w:ind w:firstLine="480"/>
        <w:jc w:val="both"/>
        <w:rPr>
          <w:rFonts w:hint="eastAsia" w:cs="宋体"/>
          <w:sz w:val="30"/>
          <w:szCs w:val="30"/>
          <w:lang w:eastAsia="zh-CN"/>
        </w:rPr>
      </w:pPr>
    </w:p>
    <w:p w14:paraId="44215E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32"/>
          <w:szCs w:val="32"/>
        </w:rPr>
      </w:pPr>
    </w:p>
    <w:p w14:paraId="6465AA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32"/>
          <w:szCs w:val="32"/>
        </w:rPr>
      </w:pPr>
    </w:p>
    <w:p w14:paraId="621B35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32"/>
          <w:szCs w:val="32"/>
        </w:rPr>
      </w:pPr>
      <w:bookmarkStart w:id="0" w:name="_GoBack"/>
      <w:bookmarkEnd w:id="0"/>
      <w:r>
        <w:rPr>
          <w:color w:val="000000"/>
          <w:sz w:val="32"/>
          <w:szCs w:val="32"/>
        </w:rPr>
        <w:t>附录一 参考文献</w:t>
      </w:r>
    </w:p>
    <w:p w14:paraId="6069E60A"/>
    <w:p w14:paraId="08FF959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丘迎军，吴莹. “一带一路” 视域下闽西客家文化外宣翻译研究 —— 基于翻译目的论视角 [J]. 维普期刊，2024. [2] 陈爱兰。短视频平台在客家文化英语传播中的应用策略与案例分析 [J]. 期刊网，2025. [3] 古韵新声：深度翻译视角下赣州七里古镇外宣文本英译探究 [J]. 汉斯期刊，2024. [4] 肖金勇。文化自信背景下山歌的海外传播 —— 以客家山歌为例 [J]. 维普期刊，2023. [5] “百千万工程” 背景下外语专业大学生助力乡村文化振兴路径探索 [R]. 高校实践研究文稿，2026.</w:t>
      </w:r>
    </w:p>
    <w:p w14:paraId="67A4FC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left"/>
        <w:rPr>
          <w:rFonts w:ascii="宋体" w:hAnsi="宋体" w:eastAsia="宋体" w:cs="宋体"/>
          <w:color w:val="000000"/>
          <w:kern w:val="0"/>
          <w:sz w:val="24"/>
          <w:szCs w:val="24"/>
          <w:lang w:val="en-US" w:eastAsia="zh-CN" w:bidi="ar"/>
        </w:rPr>
      </w:pPr>
    </w:p>
    <w:p w14:paraId="0CC6CAEF">
      <w:pPr>
        <w:spacing w:after="0" w:line="360" w:lineRule="auto"/>
        <w:ind w:firstLine="480"/>
        <w:jc w:val="both"/>
        <w:rPr>
          <w:rFonts w:ascii="宋体" w:hAnsi="宋体" w:eastAsia="宋体" w:cs="宋体"/>
          <w:sz w:val="24"/>
          <w:szCs w:val="24"/>
        </w:rPr>
      </w:pPr>
    </w:p>
    <w:sectPr>
      <w:headerReference r:id="rId5" w:type="default"/>
      <w:footerReference r:id="rId6" w:type="default"/>
      <w:pgSz w:w="11906" w:h="16838"/>
      <w:pgMar w:top="1440" w:right="1134" w:bottom="144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3D0D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C36FE">
    <w:pPr>
      <w:jc w:val="center"/>
    </w:pPr>
    <w:r>
      <w:rPr>
        <w:rFonts w:ascii="宋体" w:hAnsi="宋体" w:eastAsia="宋体" w:cs="宋体"/>
        <w:sz w:val="20"/>
        <w:szCs w:val="20"/>
      </w:rPr>
      <w:fldChar w:fldCharType="begin"/>
    </w:r>
    <w:r>
      <w:rPr>
        <w:rFonts w:ascii="宋体" w:hAnsi="宋体" w:eastAsia="宋体" w:cs="宋体"/>
        <w:sz w:val="20"/>
        <w:szCs w:val="20"/>
      </w:rPr>
      <w:instrText xml:space="preserve">PAGE</w:instrText>
    </w:r>
    <w:r>
      <w:rPr>
        <w:rFonts w:ascii="宋体" w:hAnsi="宋体" w:eastAsia="宋体" w:cs="宋体"/>
        <w:sz w:val="20"/>
        <w:szCs w:val="20"/>
      </w:rPr>
      <w:fldChar w:fldCharType="separate"/>
    </w:r>
    <w:r>
      <w:rPr>
        <w:rFonts w:ascii="宋体" w:hAnsi="宋体" w:eastAsia="宋体" w:cs="宋体"/>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F130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515B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11713"/>
    <w:multiLevelType w:val="singleLevel"/>
    <w:tmpl w:val="96411713"/>
    <w:lvl w:ilvl="0" w:tentative="0">
      <w:start w:val="1"/>
      <w:numFmt w:val="decimal"/>
      <w:suff w:val="space"/>
      <w:lvlText w:val="[%1]"/>
      <w:lvlJc w:val="left"/>
    </w:lvl>
  </w:abstractNum>
  <w:abstractNum w:abstractNumId="1">
    <w:nsid w:val="DBF5DBAB"/>
    <w:multiLevelType w:val="singleLevel"/>
    <w:tmpl w:val="DBF5DBAB"/>
    <w:lvl w:ilvl="0" w:tentative="0">
      <w:start w:val="3"/>
      <w:numFmt w:val="chineseCounting"/>
      <w:suff w:val="nothing"/>
      <w:lvlText w:val="（%1）"/>
      <w:lvlJc w:val="left"/>
      <w:rPr>
        <w:rFonts w:hint="eastAsia"/>
      </w:rPr>
    </w:lvl>
  </w:abstractNum>
  <w:abstractNum w:abstractNumId="2">
    <w:nsid w:val="F512AADD"/>
    <w:multiLevelType w:val="singleLevel"/>
    <w:tmpl w:val="F512AADD"/>
    <w:lvl w:ilvl="0" w:tentative="0">
      <w:start w:val="2"/>
      <w:numFmt w:val="chineseCounting"/>
      <w:suff w:val="nothing"/>
      <w:lvlText w:val="%1、"/>
      <w:lvlJc w:val="left"/>
      <w:rPr>
        <w:rFonts w:hint="eastAsia"/>
      </w:rPr>
    </w:lvl>
  </w:abstractNum>
  <w:abstractNum w:abstractNumId="3">
    <w:nsid w:val="3BDCC04A"/>
    <w:multiLevelType w:val="singleLevel"/>
    <w:tmpl w:val="3BDCC04A"/>
    <w:lvl w:ilvl="0" w:tentative="0">
      <w:start w:val="2"/>
      <w:numFmt w:val="decimal"/>
      <w:suff w:val="space"/>
      <w:lvlText w:val="%1."/>
      <w:lvlJc w:val="left"/>
    </w:lvl>
  </w:abstractNum>
  <w:abstractNum w:abstractNumId="4">
    <w:nsid w:val="4C3BB49B"/>
    <w:multiLevelType w:val="singleLevel"/>
    <w:tmpl w:val="4C3BB49B"/>
    <w:lvl w:ilvl="0" w:tentative="0">
      <w:start w:val="4"/>
      <w:numFmt w:val="chineseCounting"/>
      <w:suff w:val="nothing"/>
      <w:lvlText w:val="%1、"/>
      <w:lvlJc w:val="left"/>
      <w:rPr>
        <w:rFonts w:hint="eastAsia"/>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24368DF"/>
    <w:rsid w:val="050315A0"/>
    <w:rsid w:val="0DA41327"/>
    <w:rsid w:val="17D21D16"/>
    <w:rsid w:val="184219AD"/>
    <w:rsid w:val="19C34894"/>
    <w:rsid w:val="1A6575A0"/>
    <w:rsid w:val="1BA00A3B"/>
    <w:rsid w:val="1C760CE6"/>
    <w:rsid w:val="1CFA525B"/>
    <w:rsid w:val="1D886B58"/>
    <w:rsid w:val="20505DA2"/>
    <w:rsid w:val="20B51E56"/>
    <w:rsid w:val="217B030D"/>
    <w:rsid w:val="2665726B"/>
    <w:rsid w:val="26934222"/>
    <w:rsid w:val="27630472"/>
    <w:rsid w:val="2B3475E1"/>
    <w:rsid w:val="2B9E1770"/>
    <w:rsid w:val="33C56E89"/>
    <w:rsid w:val="38A65EDE"/>
    <w:rsid w:val="3C4B567C"/>
    <w:rsid w:val="3DE43692"/>
    <w:rsid w:val="41607560"/>
    <w:rsid w:val="422E75D1"/>
    <w:rsid w:val="4BB150C3"/>
    <w:rsid w:val="4D125FA0"/>
    <w:rsid w:val="4EA539E8"/>
    <w:rsid w:val="52B72CCB"/>
    <w:rsid w:val="532800C2"/>
    <w:rsid w:val="563C214C"/>
    <w:rsid w:val="56BF2887"/>
    <w:rsid w:val="58607ED3"/>
    <w:rsid w:val="5C4F21C6"/>
    <w:rsid w:val="6A753097"/>
    <w:rsid w:val="6C9E3A12"/>
    <w:rsid w:val="70103384"/>
    <w:rsid w:val="70967F6C"/>
    <w:rsid w:val="721228F2"/>
    <w:rsid w:val="75CD72E8"/>
    <w:rsid w:val="75D52442"/>
    <w:rsid w:val="781A5201"/>
    <w:rsid w:val="784A024E"/>
    <w:rsid w:val="7B782DE3"/>
    <w:rsid w:val="7D7E3E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outlineLvl w:val="0"/>
    </w:pPr>
    <w:rPr>
      <w:rFonts w:ascii="黑体" w:hAnsi="黑体" w:eastAsia="黑体" w:cs="黑体"/>
      <w:b/>
      <w:bCs/>
      <w:color w:val="000000"/>
      <w:sz w:val="30"/>
      <w:szCs w:val="30"/>
    </w:rPr>
  </w:style>
  <w:style w:type="paragraph" w:styleId="3">
    <w:name w:val="heading 2"/>
    <w:next w:val="1"/>
    <w:qFormat/>
    <w:uiPriority w:val="0"/>
    <w:pPr>
      <w:spacing w:before="240" w:after="120"/>
      <w:outlineLvl w:val="1"/>
    </w:pPr>
    <w:rPr>
      <w:rFonts w:ascii="黑体" w:hAnsi="黑体" w:eastAsia="黑体" w:cs="黑体"/>
      <w:b/>
      <w:bCs/>
      <w:color w:val="000000"/>
      <w:sz w:val="28"/>
      <w:szCs w:val="28"/>
    </w:rPr>
  </w:style>
  <w:style w:type="paragraph" w:styleId="4">
    <w:name w:val="heading 3"/>
    <w:next w:val="1"/>
    <w:qFormat/>
    <w:uiPriority w:val="0"/>
    <w:pPr>
      <w:spacing w:before="120" w:after="120"/>
      <w:outlineLvl w:val="2"/>
    </w:pPr>
    <w:rPr>
      <w:rFonts w:ascii="黑体" w:hAnsi="黑体" w:eastAsia="黑体" w:cs="黑体"/>
      <w:b/>
      <w:bCs/>
      <w:color w:val="000000"/>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宋体" w:hAnsi="宋体" w:eastAsia="宋体" w:cs="宋体"/>
      <w:sz w:val="20"/>
      <w:szCs w:val="20"/>
    </w:rPr>
  </w:style>
  <w:style w:type="paragraph" w:styleId="9">
    <w:name w:val="footnote text"/>
    <w:link w:val="19"/>
    <w:semiHidden/>
    <w:unhideWhenUsed/>
    <w:qFormat/>
    <w:uiPriority w:val="99"/>
    <w:pPr>
      <w:spacing w:after="0" w:line="240" w:lineRule="auto"/>
    </w:pPr>
    <w:rPr>
      <w:rFonts w:ascii="宋体" w:hAnsi="宋体" w:eastAsia="宋体" w:cs="宋体"/>
      <w:sz w:val="20"/>
      <w:szCs w:val="20"/>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宋体" w:hAnsi="宋体" w:eastAsia="宋体" w:cs="宋体"/>
      <w:sz w:val="56"/>
      <w:szCs w:val="56"/>
    </w:rPr>
  </w:style>
  <w:style w:type="character" w:styleId="14">
    <w:name w:val="Strong"/>
    <w:basedOn w:val="13"/>
    <w:qFormat/>
    <w:uiPriority w:val="0"/>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宋体" w:hAnsi="宋体" w:eastAsia="宋体" w:cs="宋体"/>
      <w:sz w:val="24"/>
      <w:szCs w:val="24"/>
    </w:rPr>
  </w:style>
  <w:style w:type="character" w:customStyle="1" w:styleId="19">
    <w:name w:val="Footnote Text Char"/>
    <w:link w:val="9"/>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4461</Words>
  <Characters>4600</Characters>
  <TotalTime>1</TotalTime>
  <ScaleCrop>false</ScaleCrop>
  <LinksUpToDate>false</LinksUpToDate>
  <CharactersWithSpaces>4653</CharactersWithSpaces>
  <Application>WPS Office_12.1.0.28599_F1E327BC-269C-435d-A152-05C5408002CA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2026-07-30T14:06:00Z</dcterms:created>
  <dc:creator>Un-named</dc:creator>
  <cp:lastModifiedBy>全全</cp:lastModifiedBy>
  <dcterms:modified xsi:type="dcterms:W3CDTF">2026-09-10T16:40:43Z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{"Label":"1","ContentProducer":"001191440300708461136T1WFUO","ProduceID":"06a9d438731948333ce65480ccd34101-7o7u","ReservedCode1":"{\"Type\":\" TC260PG\",\"Version\":1,\"Bindings\":[{\"Type\":\"soft\",\"AlgID\":\"sm3\",\"Value\":\"775c26f99b1713083ebaf2aa7e6e4769dbf824bd180f47a7143cd27fb8a3cbc4\"},{\"Type\":\"hash\",\"AlgID\":\"sm3\",\"Value\":\"0dd234866065c7d0a031f12fadda2bd738b75a988484e5a1ba8eaab65eef5c3a\"}],\"PubSD\":[{\"Type\":\"DS\",\"AlgID\":\"sm2\",\"TBSData\":{\"Type\":\"Binding\",\"BType\":\"hash\"},\"Signature\":\"3046022100ae2c6fe7071c8257b5c6d8f4498f664f9de9c5ead6da96e87a2b9f036de17f64022100f9d85f16f9b955c032317f9991529c8d7cf6373158b404f4cc7a5cf33b05b42e\"},{\"Type\":\"PubKey\",\"AlgID\":\"sm2\",\"KeyValue\":\"0407f79b28a17a752b3aae4305c98b48978213832729a2571850b1310b2bc9fe8fee039ccf25ebfeac27502414d9fcef792d777183c98893d226171c2f7a3289a2\"}],\"Extension\":{\"Timestamp\":1785420389,\"KeyVersion\":\"v1-TxLeOmf7bqU223\"}}","ContentPropagator":"001191440300708461136T1WFUO","PropagateID":"06a9d438731948333ce65480ccd34101-7o7u","ReservedCode2":"{\"Type\":\" TC260PG\",\"Version\":1,\"Bindings\":[{\"Type\":\"soft\",\"AlgID\":\"sm3\",\"Value\":\"775c26f99b1713083ebaf2aa7e6e4769dbf824bd180f47a7143cd27fb8a3cbc4\"},{\"Type\":\"hash\",\"AlgID\":\"sm3\",\"Value\":\"0dd234866065c7d0a031f12fadda2bd738b75a988484e5a1ba8eaab65eef5c3a\"}],\"PubSD\":[{\"Type\":\"DS\",\"AlgID\":\"sm2\",\"TBSData\":{\"Type\":\"Binding\",\"BType\":\"hash\"},\"Signature\":\"30460221008e4d11198db21990abbbfeb62880811c0fb5c7b0267e733b387c0600668dcd04022100fe1ae3de3c96873910f6cfc3a01ebea18c61e682cd992de6e1594cc9acb92fe0\"},{\"Type\":\"PubKey\",\"AlgID\":\"sm2\",\"KeyValue\":\"0407f79b28a17a752b3aae4305c98b48978213832729a2571850b1310b2bc9fe8fee039ccf25ebfeac27502414d9fcef792d777183c98893d226171c2f7a3289a2\"}],\"Extension\":{\"Timestamp\":1785420389,\"KeyVersion\":\"v1-TxLeOmf7bqU223\"}}"}</vt:lpwstr>
  </property>
  <property fmtid="{D5CDD505-2E9C-101B-9397-08002B2CF9AE}" pid="3" name="KSOTemplateDocerSaveRecord">
    <vt:lpwstr>eyJoZGlkIjoiMzEwNTM5NzYwMDRjMzkwZTVkZjY2ODkwMGIxNGU0OTUiLCJ1c2VySWQiOiIzNjIyNTQ0NTUifQ==</vt:lpwstr>
  </property>
  <property fmtid="{D5CDD505-2E9C-101B-9397-08002B2CF9AE}" pid="4" name="KSOProductBuildVer">
    <vt:lpwstr>2052-12.1.0.28599</vt:lpwstr>
  </property>
  <property fmtid="{D5CDD505-2E9C-101B-9397-08002B2CF9AE}" pid="5" name="ICV">
    <vt:lpwstr>89A96F2390944212B78389F4229EE176_13</vt:lpwstr>
  </property>
</Properties>
</file>