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E51B7" w14:textId="77777777" w:rsidR="00DC4616" w:rsidRDefault="00DC4616">
      <w:pPr>
        <w:spacing w:before="2400"/>
      </w:pPr>
    </w:p>
    <w:p w14:paraId="66E1C214" w14:textId="77777777" w:rsidR="00DC4616" w:rsidRDefault="00000000">
      <w:pPr>
        <w:spacing w:after="200"/>
        <w:jc w:val="center"/>
      </w:pPr>
      <w:r>
        <w:rPr>
          <w:rFonts w:ascii="Calibri" w:eastAsia="Calibri" w:hAnsi="Calibri" w:cs="Calibri"/>
          <w:b/>
          <w:bCs/>
          <w:color w:val="1F4E79"/>
          <w:sz w:val="40"/>
          <w:szCs w:val="40"/>
        </w:rPr>
        <w:t>Iterative Development of a Multi-Physics Dense Plasma Focus Simulator Through AI-Augmented Methodology:</w:t>
      </w:r>
    </w:p>
    <w:p w14:paraId="7DDF68FB" w14:textId="77777777" w:rsidR="00DC4616" w:rsidRDefault="00000000">
      <w:pPr>
        <w:spacing w:after="600"/>
        <w:jc w:val="center"/>
      </w:pPr>
      <w:r>
        <w:rPr>
          <w:rFonts w:ascii="Calibri" w:eastAsia="Calibri" w:hAnsi="Calibri" w:cs="Calibri"/>
          <w:b/>
          <w:bCs/>
          <w:color w:val="1F4E79"/>
          <w:sz w:val="36"/>
          <w:szCs w:val="36"/>
        </w:rPr>
        <w:t>From Conversational Prototyping to Autonomous Code Generation</w:t>
      </w:r>
    </w:p>
    <w:p w14:paraId="7ECB5EB7" w14:textId="77777777" w:rsidR="00DC4616" w:rsidRDefault="00000000">
      <w:pPr>
        <w:spacing w:after="100"/>
        <w:jc w:val="center"/>
      </w:pPr>
      <w:r>
        <w:rPr>
          <w:sz w:val="28"/>
          <w:szCs w:val="28"/>
        </w:rPr>
        <w:t>Anthony J. Zamora</w:t>
      </w:r>
    </w:p>
    <w:p w14:paraId="4AC36E69" w14:textId="3232032E" w:rsidR="00DC4616" w:rsidRDefault="009309F7" w:rsidP="009309F7">
      <w:pPr>
        <w:spacing w:after="100"/>
        <w:jc w:val="center"/>
      </w:pPr>
      <w:proofErr w:type="gramStart"/>
      <w:r>
        <w:rPr>
          <w:i/>
          <w:iCs/>
        </w:rPr>
        <w:t>MSITBSM ,</w:t>
      </w:r>
      <w:proofErr w:type="gramEnd"/>
      <w:r>
        <w:rPr>
          <w:i/>
          <w:iCs/>
        </w:rPr>
        <w:t xml:space="preserve"> Western Governors University</w:t>
      </w:r>
    </w:p>
    <w:p w14:paraId="466F8C5C" w14:textId="77777777" w:rsidR="00DC4616" w:rsidRDefault="00000000">
      <w:pPr>
        <w:spacing w:after="600"/>
        <w:jc w:val="center"/>
      </w:pPr>
      <w:r>
        <w:t>March 2026</w:t>
      </w:r>
    </w:p>
    <w:p w14:paraId="02269331" w14:textId="77777777" w:rsidR="00DC4616" w:rsidRDefault="00000000">
      <w:r>
        <w:br w:type="page"/>
      </w:r>
    </w:p>
    <w:p w14:paraId="1CE9688A" w14:textId="77777777" w:rsidR="00DC4616" w:rsidRDefault="00000000">
      <w:pPr>
        <w:pStyle w:val="Heading1"/>
      </w:pPr>
      <w:r>
        <w:t>Abstract</w:t>
      </w:r>
    </w:p>
    <w:p w14:paraId="415C3048" w14:textId="77777777" w:rsidR="00DC4616" w:rsidRDefault="00000000">
      <w:pPr>
        <w:spacing w:after="200" w:line="276" w:lineRule="auto"/>
      </w:pPr>
      <w:r>
        <w:t xml:space="preserve">The Dense Plasma Focus (DPF) is a pulsed plasma device capable of producing extreme conditions relevant to fusion energy, neutron generation, and X-ray sources. Simulating DPF dynamics requires coupling pulsed-power circuits, magnetohydrodynamics (MHD), radiation transport, and nuclear reaction kinetics — a multi-physics problem traditionally tackled with specialized Fortran codes on high-performance computing (HPC) clusters. This paper presents a longitudinal account of the iterative development of DPF-Unified, an open-source multi-physics DPF simulator constructed through AI-augmented development across three generations of large language models (LLMs) and four distinct architectural epochs. The work traces the complete evolution from early conversational prototyping with OpenAI’s GPT-4 (January–April 2025), through intermediate reasoning models (May–September 2025), to the paradigm-shifting introduction of autonomous filesystem-level development with </w:t>
      </w:r>
      <w:proofErr w:type="spellStart"/>
      <w:r>
        <w:t>Anthropic’s</w:t>
      </w:r>
      <w:proofErr w:type="spellEnd"/>
      <w:r>
        <w:t xml:space="preserve"> Claude Code (January–March 2026). Each epoch produced a recognizably different simulator architecture, and each was abandoned or subsumed as its fundamental limitations became apparent through testing. The final system implements seven simulation backends ranging from a sub-second Lee model to GPU-accelerated 2D axisymmetric and 3D Cartesian MHD, validated against published experimental data for twelve device presets. A structured reference database of 22 papers, 725 parameters, and 214 formulas grounds the AI in published physics, preventing hallucination of physical constants. All fifteen challenges identified in the DPF Simulation Challenge literature have been addressed with initial implementations. The simulator runs on a consumer Apple Silicon laptop with no HPC infrastructure, specialized licenses, or Fortran compilation required. This paper serves as both a technical post-mortem of the iterative failures and a demonstration that AI-augmented development methodology can accelerate the translation of published physics into working, validated simulation software.</w:t>
      </w:r>
    </w:p>
    <w:p w14:paraId="08B502D7" w14:textId="77777777" w:rsidR="00DC4616" w:rsidRDefault="00000000">
      <w:pPr>
        <w:spacing w:after="200" w:line="276" w:lineRule="auto"/>
      </w:pPr>
      <w:r>
        <w:rPr>
          <w:b/>
          <w:bCs/>
        </w:rPr>
        <w:t>Keywords:</w:t>
      </w:r>
      <w:r>
        <w:t xml:space="preserve"> Dense Plasma Focus, magnetohydrodynamics, AI-augmented development, large language models, Lee model, plasma simulation, computational physics, iterative design, multi-fidelity simulation</w:t>
      </w:r>
    </w:p>
    <w:p w14:paraId="233AACED" w14:textId="77777777" w:rsidR="00DC4616" w:rsidRDefault="00000000">
      <w:r>
        <w:br w:type="page"/>
      </w:r>
    </w:p>
    <w:p w14:paraId="1D08CA21" w14:textId="77777777" w:rsidR="00DC4616" w:rsidRDefault="00000000">
      <w:pPr>
        <w:pStyle w:val="Heading1"/>
      </w:pPr>
      <w:r>
        <w:t>Table of Contents</w:t>
      </w:r>
    </w:p>
    <w:p w14:paraId="753F1925" w14:textId="77777777" w:rsidR="00DC4616" w:rsidRDefault="00000000">
      <w:pPr>
        <w:spacing w:after="200" w:line="276" w:lineRule="auto"/>
      </w:pPr>
      <w:r>
        <w:t>(Table of contents to be generated upon final document compilation.)</w:t>
      </w:r>
    </w:p>
    <w:p w14:paraId="10B49362" w14:textId="77777777" w:rsidR="00DC4616" w:rsidRDefault="00000000">
      <w:r>
        <w:br w:type="page"/>
      </w:r>
    </w:p>
    <w:p w14:paraId="7A86E280" w14:textId="77777777" w:rsidR="00DC4616" w:rsidRDefault="00000000">
      <w:pPr>
        <w:pStyle w:val="Heading1"/>
      </w:pPr>
      <w:r>
        <w:t>1. Introduction</w:t>
      </w:r>
    </w:p>
    <w:p w14:paraId="23AC48C7" w14:textId="77777777" w:rsidR="00DC4616" w:rsidRDefault="00000000">
      <w:pPr>
        <w:pStyle w:val="Heading2"/>
      </w:pPr>
      <w:r>
        <w:t>1.1 The Dense Plasma Focus</w:t>
      </w:r>
    </w:p>
    <w:p w14:paraId="2370D2EF" w14:textId="77777777" w:rsidR="00DC4616" w:rsidRDefault="00000000">
      <w:pPr>
        <w:spacing w:after="200" w:line="276" w:lineRule="auto"/>
      </w:pPr>
      <w:r>
        <w:t>The Dense Plasma Focus (DPF) is a coaxial pulsed-power device that accelerates and compresses a plasma sheath to produce a short-lived, high-density, high-temperature plasma column known as the “pinch” (Mather, 1965; Filipov et al., 1962). At peak compression, the pinch column reaches ion temperatures of 1–10 keV and densities exceeding 10²⁵ m⁻³, conditions sufficient for thermonuclear deuterium-deuterium fusion reactions producing neutrons, hard X-rays, and energetic ion beams (Lee, 2008). DPF devices range from table-top university instruments storing 3 kJ to megajoule facilities such as PF-1000 at IPPLM Warsaw (1 MJ) and MJOLNIR at Lawrence Livermore National Laboratory (2 MJ). Despite over six decades of research since the independent discoveries of Mather and Filipov, the DPF remains actively studied for applications in pulsed neutron sources, X-ray lithography, medical isotope production, and as a platform for investigating fundamental plasma instabilities and magnetic reconnection (Krishnan, 2012).</w:t>
      </w:r>
    </w:p>
    <w:p w14:paraId="3A58F018" w14:textId="77777777" w:rsidR="00DC4616" w:rsidRDefault="00000000">
      <w:pPr>
        <w:pStyle w:val="Heading2"/>
      </w:pPr>
      <w:r>
        <w:t>1.2 The Simulation Challenge</w:t>
      </w:r>
    </w:p>
    <w:p w14:paraId="00FF9753" w14:textId="77777777" w:rsidR="00DC4616" w:rsidRDefault="00000000">
      <w:pPr>
        <w:spacing w:after="200" w:line="276" w:lineRule="auto"/>
      </w:pPr>
      <w:r>
        <w:t>Modeling the DPF is a formidable multi-physics problem. A single discharge involves circuit dynamics through an RLC network with time-varying plasma inductance; axial rundown in which a current sheath driven by J × B forces sweeps gas along the anode; radial implosion at velocities exceeding 10⁵ m/s requiring magnetohydrodynamic treatment; pinch formation through Bennett equilibrium subject to sausage and kink instabilities; neutron production via thermonuclear and beam-target mechanisms; and radiation losses through bremsstrahlung, line radiation, and synchrotron emission. A comprehensive assessment of the difficulties inherent in DPF simulation identified fifteen distinct challenges, ranging from kinetic effects and anomalous resistivity to shot-to-shot reproducibility and diagnostic gaps. These challenges have historically been addressed piecemeal by different research groups using different codes, with no single tool attempting to cover the full scope.</w:t>
      </w:r>
    </w:p>
    <w:p w14:paraId="685CED05" w14:textId="77777777" w:rsidR="00DC4616" w:rsidRDefault="00000000">
      <w:pPr>
        <w:pStyle w:val="Heading2"/>
      </w:pPr>
      <w:r>
        <w:t>1.3 Motivation and Central Thesis</w:t>
      </w:r>
    </w:p>
    <w:p w14:paraId="4FFDB68D" w14:textId="77777777" w:rsidR="00DC4616" w:rsidRDefault="00000000">
      <w:pPr>
        <w:spacing w:after="200" w:line="276" w:lineRule="auto"/>
      </w:pPr>
      <w:r>
        <w:t>The author’s experience at the Air Force Research Laboratory, where DPF devices were studied as compact pulsed-power neutron and X-ray sources, provided firsthand awareness of the simulation gap between Lee’s accessible but limited zero-dimensional model and publication-grade MHD simulations that require HPC clusters and deep expertise in computational fluid dynamics. The DPF community’s published knowledge — decades of experimental measurements, fitted parameters, analytical models, and physical insights — is scattered across hundreds of papers in journals ranging from Nuclear Fusion to the Journal of Applied Physics. No single researcher can internalize this corpus, yet every simulation effort must draw from it.</w:t>
      </w:r>
    </w:p>
    <w:p w14:paraId="53512D71" w14:textId="77777777" w:rsidR="00DC4616" w:rsidRDefault="00000000">
      <w:pPr>
        <w:spacing w:after="200" w:line="276" w:lineRule="auto"/>
      </w:pPr>
      <w:r>
        <w:t xml:space="preserve">This experience motivated a central thesis: </w:t>
      </w:r>
      <w:r>
        <w:rPr>
          <w:b/>
          <w:bCs/>
        </w:rPr>
        <w:t>AI technologies should focus on augmenting human capability to ingest and process decades of accumulated physics knowledge, making it accessible to researchers at any level.</w:t>
      </w:r>
      <w:r>
        <w:t xml:space="preserve"> The goal was not to use AI to invent new physics, but to use AI to translate published physics into working, validated, accessible code — and to do so on consumer hardware that any student could afford. This paper traces the full iterative arc of that effort, including the failures, the architectural pivots, and the lessons that only became apparent through sustained development across multiple LLM generations.</w:t>
      </w:r>
    </w:p>
    <w:p w14:paraId="6C49294E" w14:textId="77777777" w:rsidR="00DC4616" w:rsidRDefault="00000000">
      <w:pPr>
        <w:pStyle w:val="Heading2"/>
      </w:pPr>
      <w:r>
        <w:t>1.4 Contributions</w:t>
      </w:r>
    </w:p>
    <w:p w14:paraId="4DC28CB2" w14:textId="77777777" w:rsidR="00DC4616" w:rsidRDefault="00000000">
      <w:pPr>
        <w:spacing w:after="200" w:line="276" w:lineRule="auto"/>
      </w:pPr>
      <w:r>
        <w:t>This paper presents five principal contributions. First, a longitudinal account of AI-augmented scientific software development spanning fourteen months and four distinct architectural epochs, documenting how LLM capabilities constrained and enabled different development paradigms. Second, a multi-fidelity simulation framework with seven backends covering the full complexity spectrum from sub-second zero-dimensional models to GPU-accelerated three-dimensional MHD on a single consumer laptop. Third, systematic coverage of all fifteen DPF simulation challenges within a single codebase. Fourth, a structured reference database methodology that grounds AI code generation in published physics and eliminates hallucination of physical constants. Fifth, an honest technical post-mortem identifying where the design was technically correct, where it was fundamentally flawed, and how the failures informed the architecture that ultimately succeeded.</w:t>
      </w:r>
    </w:p>
    <w:p w14:paraId="3B9C7024" w14:textId="77777777" w:rsidR="00DC4616" w:rsidRDefault="00000000">
      <w:r>
        <w:br w:type="page"/>
      </w:r>
    </w:p>
    <w:p w14:paraId="7B86E8FF" w14:textId="77777777" w:rsidR="00DC4616" w:rsidRDefault="00000000">
      <w:pPr>
        <w:pStyle w:val="Heading1"/>
      </w:pPr>
      <w:r>
        <w:t>2. Background, Related Work, and Verification Methodology</w:t>
      </w:r>
    </w:p>
    <w:p w14:paraId="01A56944" w14:textId="77777777" w:rsidR="00DC4616" w:rsidRDefault="00000000">
      <w:pPr>
        <w:pStyle w:val="Heading2"/>
      </w:pPr>
      <w:r>
        <w:t>2.1 Existing DPF Simulation Codes</w:t>
      </w:r>
    </w:p>
    <w:p w14:paraId="41C3F519" w14:textId="77777777" w:rsidR="00DC4616" w:rsidRDefault="00000000">
      <w:pPr>
        <w:spacing w:after="200" w:line="276" w:lineRule="auto"/>
      </w:pPr>
      <w:r>
        <w:t>DPF simulation spans a wide fidelity range. At the lowest fidelity, Potter’s slug model (Potter, 1971) treats the plasma sheath as a thin piston driven by magnetic pressure. Lee’s RADPF code (Lee, 1984; Lee, 2008; Lee, 2014) extends this to a five-phase coupled circuit-snowplow model incorporating empirical current and mass fractions fitted to experimental current traces. RADPF has been applied to over forty devices worldwide and remains the standard first-analysis tool in the DPF community (Lee &amp; Saw, 2014). At higher fidelity, various MHD codes have been applied to DPF geometry, including ZPINCH (Maxon &amp; Eddleman, 1990), MACH2 (Peterkin et al., 1998), and custom implementations using Athena++ (Stone et al., 2020). These codes solve the full conservation-law MHD system with spatial resolution at the cost of hours of HPC compute time per shot.</w:t>
      </w:r>
    </w:p>
    <w:p w14:paraId="159E9E0C" w14:textId="77777777" w:rsidR="00DC4616" w:rsidRDefault="00000000">
      <w:pPr>
        <w:spacing w:after="200" w:line="276" w:lineRule="auto"/>
      </w:pPr>
      <w:r>
        <w:t xml:space="preserve">The gap between these extremes is vast and has practical consequences. An experimentalist operating a </w:t>
      </w:r>
      <w:proofErr w:type="gramStart"/>
      <w:r>
        <w:t>3 kJ</w:t>
      </w:r>
      <w:proofErr w:type="gramEnd"/>
      <w:r>
        <w:t xml:space="preserve"> table-top device can download Lee’s RADPF code and produce a current waveform comparison in minutes. To obtain spatially resolved simulation results, that same experimentalist must negotiate access to an HPC cluster, learn a specialized Fortran or C++ code’s input format, and spend weeks on mesh convergence studies. DPF-Unified was conceived specifically to fill this gap: providing spatially resolved MHD simulation with the same accessibility as the Lee model, on hardware that the experimentalist already owns.</w:t>
      </w:r>
    </w:p>
    <w:p w14:paraId="0121E8C3" w14:textId="77777777" w:rsidR="00DC4616" w:rsidRDefault="00000000">
      <w:pPr>
        <w:pStyle w:val="Heading2"/>
      </w:pPr>
      <w:r>
        <w:t>2.2 The Lee Model</w:t>
      </w:r>
    </w:p>
    <w:p w14:paraId="0CEB2F60" w14:textId="77777777" w:rsidR="00DC4616" w:rsidRDefault="00000000">
      <w:pPr>
        <w:spacing w:after="200" w:line="276" w:lineRule="auto"/>
      </w:pPr>
      <w:r>
        <w:t>The Lee model deserves detailed treatment as it forms the foundation of DPF-</w:t>
      </w:r>
      <w:proofErr w:type="spellStart"/>
      <w:r>
        <w:t>Unified’s</w:t>
      </w:r>
      <w:proofErr w:type="spellEnd"/>
      <w:r>
        <w:t xml:space="preserve"> fastest backend. Originally published as a simple slug model (Lee, 1984), it evolved through three decades into a five-phase code with calibrated parameters for dozens of devices (Lee, 2008; Lee, 2014). The model couples Kirchhoff’s voltage law for the RLC circuit to the snowplow equation of motion, using two empirical parameters: the current fraction fc (typically 0.6–0.9) representing the fraction of total circuit current flowing in the sheath, and the mass fraction </w:t>
      </w:r>
      <w:proofErr w:type="spellStart"/>
      <w:r>
        <w:t>fm</w:t>
      </w:r>
      <w:proofErr w:type="spellEnd"/>
      <w:r>
        <w:t xml:space="preserve"> (typically 0.05–0.2) representing the fraction of fill gas swept up by the sheath. A critical insight confirmed during this work is that Lee model parameters are coupled to circuit parameters; published fc and </w:t>
      </w:r>
      <w:proofErr w:type="spellStart"/>
      <w:r>
        <w:t>fm</w:t>
      </w:r>
      <w:proofErr w:type="spellEnd"/>
      <w:r>
        <w:t xml:space="preserve"> values are only valid with the specific circuit values they were fitted against. Using published mass fractions with different circuit parameters produces incorrect waveforms, a source of confusion documented repeatedly in the literature.</w:t>
      </w:r>
    </w:p>
    <w:p w14:paraId="358521A3" w14:textId="77777777" w:rsidR="00DC4616" w:rsidRDefault="00000000">
      <w:pPr>
        <w:spacing w:after="200" w:line="276" w:lineRule="auto"/>
      </w:pPr>
      <w:r>
        <w:t xml:space="preserve">The coupling between Lee model parameters and circuit parameters is a subtlety that tripped the AI-augmented development process on multiple occasions. In one early session, the AI implemented the PF-1000 preset using Lee &amp; Saw (2014) snowplow parameters (fc = 0.7, </w:t>
      </w:r>
      <w:proofErr w:type="spellStart"/>
      <w:r>
        <w:t>fm</w:t>
      </w:r>
      <w:proofErr w:type="spellEnd"/>
      <w:r>
        <w:t xml:space="preserve"> = 0.08) but Scholz et al. (2006) circuit parameters (C = 1.332 mF, V0 = 27 kV, L0 = 33.5 </w:t>
      </w:r>
      <w:proofErr w:type="spellStart"/>
      <w:r>
        <w:t>nH</w:t>
      </w:r>
      <w:proofErr w:type="spellEnd"/>
      <w:r>
        <w:t xml:space="preserve">, R0 = 2.3 </w:t>
      </w:r>
      <w:proofErr w:type="spellStart"/>
      <w:r>
        <w:t>mΩ</w:t>
      </w:r>
      <w:proofErr w:type="spellEnd"/>
      <w:r>
        <w:t>). The resulting peak current was 9 percent low. The AI initially attempted to “fix” the discrepancy by adjusting fc, which produced a better peak current match but degraded the current dip timing. Only when the reference database was queried for the complete parameter set — snowplow parameters together with the circuit parameters they were fitted against — did the origin of the discrepancy become clear. This experience directly motivated the database’s design requirement that every Lee model fit be stored with its complete associated circuit parameters.</w:t>
      </w:r>
    </w:p>
    <w:p w14:paraId="4F682C30" w14:textId="77777777" w:rsidR="00DC4616" w:rsidRDefault="00000000">
      <w:pPr>
        <w:pStyle w:val="Heading2"/>
      </w:pPr>
      <w:r>
        <w:t>2.3 The Fifteen DPF Simulation Challenges</w:t>
      </w:r>
    </w:p>
    <w:p w14:paraId="6A7417FC" w14:textId="77777777" w:rsidR="00DC4616" w:rsidRDefault="00000000">
      <w:pPr>
        <w:spacing w:after="200" w:line="276" w:lineRule="auto"/>
      </w:pPr>
      <w:r>
        <w:t xml:space="preserve">A systematic review of the DPF simulation literature identified fifteen outstanding challenges: kinetic effects, MHD instabilities, radiation-coupled MHD, neutron production mechanisms, anomalous resistivity, current sheath structure, magnetic reconnection, filamentation, shot-to-shot reproducibility, high repetition rate effects, alternative fuels, electrode erosion, megajoule scaling, </w:t>
      </w:r>
      <w:proofErr w:type="spellStart"/>
      <w:r>
        <w:t>plasmoid</w:t>
      </w:r>
      <w:proofErr w:type="spellEnd"/>
      <w:r>
        <w:t xml:space="preserve"> formation, and the diagnostic-simulation gap. No existing code had attempted to address all fifteen within a single framework. The present work is, to the author’s knowledge, the first attempt to do so.</w:t>
      </w:r>
    </w:p>
    <w:p w14:paraId="02C903A1" w14:textId="77777777" w:rsidR="00DC4616" w:rsidRDefault="00000000">
      <w:pPr>
        <w:spacing w:after="200" w:line="276" w:lineRule="auto"/>
      </w:pPr>
      <w:r>
        <w:t>This list served a second, equally important purpose during development: it provided a structured verification checklist for evaluating the simulator’s completeness. Each challenge maps to one or more testable capabilities. When the AI-augmented development process reached a new phase, the challenge list was used to identify which physics remained unaddressed and to prioritize the next development sprint. The systematic nature of this list — rather than an ad hoc feature wish list — ensured that the development effort covered the breadth of DPF physics rather than depth in a narrow subset.</w:t>
      </w:r>
    </w:p>
    <w:p w14:paraId="749CEC3C" w14:textId="77777777" w:rsidR="00DC4616" w:rsidRDefault="00000000">
      <w:pPr>
        <w:pStyle w:val="Heading2"/>
      </w:pPr>
      <w:r>
        <w:t>2.4 AI in Computational Physics</w:t>
      </w:r>
    </w:p>
    <w:p w14:paraId="431FB535" w14:textId="77777777" w:rsidR="00DC4616" w:rsidRDefault="00000000">
      <w:pPr>
        <w:spacing w:after="200" w:line="276" w:lineRule="auto"/>
      </w:pPr>
      <w:r>
        <w:t>The application of AI and machine learning to computational physics has grown rapidly. Physics-informed neural networks embed governing equations as loss-function constraints (</w:t>
      </w:r>
      <w:proofErr w:type="spellStart"/>
      <w:r>
        <w:t>Raissi</w:t>
      </w:r>
      <w:proofErr w:type="spellEnd"/>
      <w:r>
        <w:t xml:space="preserve"> et al., 2019). Machine learning surrogate models replace expensive simulations with trained neural networks for parameter sweeps (Kasim et al., 2022). Large language models have been applied to code generation in scientific computing (Chen et al., 2021), though typically for isolated functions rather than integrated multi-physics systems. The WALRUS model from Polymathic AI represents an emerging class of foundation models for physical systems, trained on diverse simulation datasets and fine-tunable for specific applications (Polymathic AI, 2024). The approach described in this paper differs fundamentally from these efforts: rather than using AI to replace physics simulation, the methodology uses AI to accelerate the development of physics simulation software, translating published equations, parameters, and validation data into working code under human physicist oversight.</w:t>
      </w:r>
    </w:p>
    <w:p w14:paraId="327782F4" w14:textId="77777777" w:rsidR="00DC4616" w:rsidRDefault="00000000">
      <w:pPr>
        <w:pStyle w:val="Heading2"/>
      </w:pPr>
      <w:r>
        <w:t>2.5 The Reference Database: Construction, Sources, and Verification</w:t>
      </w:r>
    </w:p>
    <w:p w14:paraId="2DE7962B" w14:textId="77777777" w:rsidR="00DC4616" w:rsidRDefault="00000000">
      <w:pPr>
        <w:spacing w:after="200" w:line="276" w:lineRule="auto"/>
      </w:pPr>
      <w:r>
        <w:t xml:space="preserve">The structured reference database, designated </w:t>
      </w:r>
      <w:proofErr w:type="spellStart"/>
      <w:r>
        <w:t>cortana</w:t>
      </w:r>
      <w:proofErr w:type="spellEnd"/>
      <w:r>
        <w:t>-</w:t>
      </w:r>
      <w:proofErr w:type="spellStart"/>
      <w:r>
        <w:t>dpf</w:t>
      </w:r>
      <w:proofErr w:type="spellEnd"/>
      <w:r>
        <w:t>-ref, was the single most important methodological innovation for ensuring physics correctness. Its construction, data sourcing, and verification procedures are described here because they are essential to the reproducibility of the methodology.</w:t>
      </w:r>
    </w:p>
    <w:p w14:paraId="2878CD0F" w14:textId="77777777" w:rsidR="00DC4616" w:rsidRDefault="00000000">
      <w:pPr>
        <w:pStyle w:val="Heading2"/>
        <w:spacing w:before="200" w:after="120"/>
      </w:pPr>
      <w:r>
        <w:rPr>
          <w:i/>
          <w:iCs/>
          <w:sz w:val="26"/>
          <w:szCs w:val="26"/>
        </w:rPr>
        <w:t>2.5.1 Database Construction</w:t>
      </w:r>
    </w:p>
    <w:p w14:paraId="3D5F7F55" w14:textId="77777777" w:rsidR="00DC4616" w:rsidRDefault="00000000">
      <w:pPr>
        <w:spacing w:after="200" w:line="276" w:lineRule="auto"/>
      </w:pPr>
      <w:r>
        <w:t xml:space="preserve">The database was implemented in SQLite with Full-Text Search (FTS5) enabled, chosen for portability (a single file with no server dependency), </w:t>
      </w:r>
      <w:proofErr w:type="spellStart"/>
      <w:r>
        <w:t>queryability</w:t>
      </w:r>
      <w:proofErr w:type="spellEnd"/>
      <w:r>
        <w:t xml:space="preserve"> (SQL for structured lookups, FTS5 for natural-language search across formula descriptions and experimental conditions), and integration simplicity (Python’s sqlite3 module requires no external dependencies). The schema was designed around six primary tables: papers (22 entries with DOI, authors, journal, year, abstract, and key findings), </w:t>
      </w:r>
      <w:proofErr w:type="spellStart"/>
      <w:r>
        <w:t>device_parameters</w:t>
      </w:r>
      <w:proofErr w:type="spellEnd"/>
      <w:r>
        <w:t xml:space="preserve"> (725 entries with device name, parameter name, value, units, uncertainty, and source citation), </w:t>
      </w:r>
      <w:proofErr w:type="spellStart"/>
      <w:r>
        <w:t>lee_model_fits</w:t>
      </w:r>
      <w:proofErr w:type="spellEnd"/>
      <w:r>
        <w:t xml:space="preserve"> (29 entries with fc, </w:t>
      </w:r>
      <w:proofErr w:type="spellStart"/>
      <w:r>
        <w:t>fm</w:t>
      </w:r>
      <w:proofErr w:type="spellEnd"/>
      <w:r>
        <w:t xml:space="preserve">, </w:t>
      </w:r>
      <w:proofErr w:type="spellStart"/>
      <w:r>
        <w:t>fmr</w:t>
      </w:r>
      <w:proofErr w:type="spellEnd"/>
      <w:r>
        <w:t xml:space="preserve">, and the complete associated circuit parameters), formulas (214 entries with LaTeX representation, plain-text description, variable definitions, applicable range, and source citation), </w:t>
      </w:r>
      <w:proofErr w:type="spellStart"/>
      <w:r>
        <w:t>experimental_findings</w:t>
      </w:r>
      <w:proofErr w:type="spellEnd"/>
      <w:r>
        <w:t xml:space="preserve"> (277 entries with measured quantity, value, uncertainty, conditions, and source), and </w:t>
      </w:r>
      <w:proofErr w:type="spellStart"/>
      <w:r>
        <w:t>fts_index</w:t>
      </w:r>
      <w:proofErr w:type="spellEnd"/>
      <w:r>
        <w:t xml:space="preserve"> (106 full-text search entries for cross-cutting queries). Each entry includes a provenance field linking it to the specific paper, table, or figure from which it was extracted.</w:t>
      </w:r>
    </w:p>
    <w:p w14:paraId="13A4B347" w14:textId="77777777" w:rsidR="00DC4616" w:rsidRDefault="00000000">
      <w:pPr>
        <w:pStyle w:val="Heading2"/>
        <w:spacing w:before="200" w:after="120"/>
      </w:pPr>
      <w:r>
        <w:rPr>
          <w:i/>
          <w:iCs/>
          <w:sz w:val="26"/>
          <w:szCs w:val="26"/>
        </w:rPr>
        <w:t>2.5.2 Data Sources and Extraction</w:t>
      </w:r>
    </w:p>
    <w:p w14:paraId="307E64A4" w14:textId="77777777" w:rsidR="00DC4616" w:rsidRDefault="00000000">
      <w:pPr>
        <w:spacing w:after="200" w:line="276" w:lineRule="auto"/>
      </w:pPr>
      <w:r>
        <w:t>Data was extracted from 22 peer-reviewed publications spanning the DPF literature from 1965 to 2025. The extraction process was itself AI-augmented: complete papers were loaded into the AI’s context window, and the AI was instructed to extract every numerical parameter, formula, and experimental measurement, recording the exact table, figure, or equation number from which each datum originated. This extraction was then verified by the human physicist against the original papers. The verification process uncovered three categories of extraction error. First, unit conversion mistakes where the AI correctly identified a parameter value but converted units incorrectly (for example, confusing millimeters with centimeters for electrode dimensions). Second, context-dependent values where the AI extracted a parameter without recording the conditions under which it was measured (for example, neutron yield at a specific fill pressure and voltage, recorded without those conditions). Third, parameter coupling errors where the AI extracted snowplow parameters without their associated circuit parameters, as discussed in Section 2.2.</w:t>
      </w:r>
    </w:p>
    <w:p w14:paraId="7BE7A3BE" w14:textId="77777777" w:rsidR="00DC4616" w:rsidRDefault="00000000">
      <w:pPr>
        <w:spacing w:after="200" w:line="276" w:lineRule="auto"/>
      </w:pPr>
      <w:r>
        <w:t xml:space="preserve">The primary data sources included Lee &amp; Saw (2014) for 29 Lee model fits across dozens of devices; Scholz et al. (2006) for PF-1000 circuit parameters including the critical note about short-circuit calibration; Bosch &amp; Hale (1992) for D-D and D-T fusion reactivity polynomial coefficients, applicable ranges, and fitting accuracy; Haines et al. (2011) for beam-target neutron yield models and experimental measurements; </w:t>
      </w:r>
      <w:proofErr w:type="spellStart"/>
      <w:r>
        <w:t>Goyon</w:t>
      </w:r>
      <w:proofErr w:type="spellEnd"/>
      <w:r>
        <w:t xml:space="preserve"> et al. (2025) for the MJOLNIR instability timing parameter; Soto et al. (2010) for sub-kilojoule device parameters; and the Athena++ methods paper (Stone et al., 2020) for MHD algorithm specifications. Each paper was fully ingested into the AI context during extraction, ensuring that conditional notes, footnotes, and errata were captured alongside the primary data.</w:t>
      </w:r>
    </w:p>
    <w:p w14:paraId="0081AAC3" w14:textId="77777777" w:rsidR="00DC4616" w:rsidRDefault="00000000">
      <w:pPr>
        <w:pStyle w:val="Heading2"/>
        <w:spacing w:before="200" w:after="120"/>
      </w:pPr>
      <w:r>
        <w:rPr>
          <w:i/>
          <w:iCs/>
          <w:sz w:val="26"/>
          <w:szCs w:val="26"/>
        </w:rPr>
        <w:t>2.5.3 How the Database Was Used During Development</w:t>
      </w:r>
    </w:p>
    <w:p w14:paraId="09809C30" w14:textId="77777777" w:rsidR="00DC4616" w:rsidRDefault="00000000">
      <w:pPr>
        <w:spacing w:after="200" w:line="276" w:lineRule="auto"/>
      </w:pPr>
      <w:r>
        <w:t xml:space="preserve">The database was queried through a command-line interface that the AI could invoke within its development environment. A typical interaction proceeded as follows. The developer instructed: “Implement D-D neutron yield calculation for the pinch phase.” The AI queried the database: </w:t>
      </w:r>
      <w:proofErr w:type="spellStart"/>
      <w:r>
        <w:t>cortana</w:t>
      </w:r>
      <w:proofErr w:type="spellEnd"/>
      <w:r>
        <w:t>-</w:t>
      </w:r>
      <w:proofErr w:type="spellStart"/>
      <w:r>
        <w:t>dpf</w:t>
      </w:r>
      <w:proofErr w:type="spellEnd"/>
      <w:r>
        <w:t xml:space="preserve">-ref formula “Bosch-Hale”, receiving the exact polynomial coefficients, applicable temperature range (0.5–550 keV), and fitting uncertainty. The AI then queried </w:t>
      </w:r>
      <w:proofErr w:type="spellStart"/>
      <w:r>
        <w:t>cortana</w:t>
      </w:r>
      <w:proofErr w:type="spellEnd"/>
      <w:r>
        <w:t>-</w:t>
      </w:r>
      <w:proofErr w:type="spellStart"/>
      <w:r>
        <w:t>dpf</w:t>
      </w:r>
      <w:proofErr w:type="spellEnd"/>
      <w:r>
        <w:t xml:space="preserve">-ref formula “beam-target”, receiving the beam-target neutron model from Haines et al. (2011). The AI implemented both mechanisms with the retrieved coefficients, wrote tests comparing output against tabulated values from the database, and validated by querying </w:t>
      </w:r>
      <w:proofErr w:type="spellStart"/>
      <w:r>
        <w:t>cortana</w:t>
      </w:r>
      <w:proofErr w:type="spellEnd"/>
      <w:r>
        <w:t>-</w:t>
      </w:r>
      <w:proofErr w:type="spellStart"/>
      <w:r>
        <w:t>dpf</w:t>
      </w:r>
      <w:proofErr w:type="spellEnd"/>
      <w:r>
        <w:t>-ref params “PF-1000 neutron yield” to retrieve the experimental measurement for comparison.</w:t>
      </w:r>
    </w:p>
    <w:p w14:paraId="25F48A66" w14:textId="77777777" w:rsidR="00DC4616" w:rsidRDefault="00000000">
      <w:pPr>
        <w:spacing w:after="200" w:line="276" w:lineRule="auto"/>
      </w:pPr>
      <w:r>
        <w:t xml:space="preserve">This workflow produced correct physics implementations on the first attempt in </w:t>
      </w:r>
      <w:proofErr w:type="gramStart"/>
      <w:r>
        <w:t>the majority of</w:t>
      </w:r>
      <w:proofErr w:type="gramEnd"/>
      <w:r>
        <w:t xml:space="preserve"> cases, compared to two to three iterations typically needed when the AI worked from its training data alone. The database transformed the AI from a probabilistic generator of physics code into a deterministic retriever of published physics with code generation capability. The distinction is fundamental: probabilistic generation produces plausible outputs; deterministic retrieval produces correct outputs.</w:t>
      </w:r>
    </w:p>
    <w:p w14:paraId="316E296F" w14:textId="77777777" w:rsidR="00DC4616" w:rsidRDefault="00000000">
      <w:pPr>
        <w:pStyle w:val="Heading2"/>
        <w:spacing w:before="200" w:after="120"/>
      </w:pPr>
      <w:r>
        <w:rPr>
          <w:i/>
          <w:iCs/>
          <w:sz w:val="26"/>
          <w:szCs w:val="26"/>
        </w:rPr>
        <w:t>2.5.4 Verification of Database Integrity</w:t>
      </w:r>
    </w:p>
    <w:p w14:paraId="6A385642" w14:textId="77777777" w:rsidR="00DC4616" w:rsidRDefault="00000000">
      <w:pPr>
        <w:spacing w:after="200" w:line="276" w:lineRule="auto"/>
      </w:pPr>
      <w:r>
        <w:t xml:space="preserve">The database itself required verification against the primary sources. Three verification passes were conducted. The first pass was automated: a script compared every formula in the database against a known-good implementation of the corresponding equation, flagging </w:t>
      </w:r>
      <w:proofErr w:type="spellStart"/>
      <w:r>
        <w:t>any where</w:t>
      </w:r>
      <w:proofErr w:type="spellEnd"/>
      <w:r>
        <w:t xml:space="preserve"> the database coefficients produced outputs differing by more than 0.1 percent from the reference. This caught two transcription errors in Bosch-Hale coefficients. The second pass was cross-referential: for each device parameter, the script verified that the database value fell within the range reported across all papers that measured the same quantity, flagging outliers for manual review. This caught one instance where a fill pressure was recorded in </w:t>
      </w:r>
      <w:proofErr w:type="gramStart"/>
      <w:r>
        <w:t>Torr</w:t>
      </w:r>
      <w:proofErr w:type="gramEnd"/>
      <w:r>
        <w:t xml:space="preserve"> but the database entry assumed Pascals. The third pass was human review: the physicist manually verified all 29 Lee model fits against the original Lee &amp; Saw (2014) tables, confirming that each fit was stored with its correct associated circuit parameters.</w:t>
      </w:r>
    </w:p>
    <w:p w14:paraId="0E521CC0" w14:textId="77777777" w:rsidR="00DC4616" w:rsidRDefault="00000000">
      <w:r>
        <w:br w:type="page"/>
      </w:r>
    </w:p>
    <w:p w14:paraId="7F25A9CB" w14:textId="77777777" w:rsidR="00DC4616" w:rsidRDefault="00000000">
      <w:pPr>
        <w:pStyle w:val="Heading1"/>
      </w:pPr>
      <w:r>
        <w:t>3. Large Language Model Timeline and Capability Evolution</w:t>
      </w:r>
    </w:p>
    <w:p w14:paraId="62EFCBDA" w14:textId="77777777" w:rsidR="00DC4616" w:rsidRDefault="00000000">
      <w:pPr>
        <w:spacing w:after="200" w:line="276" w:lineRule="auto"/>
      </w:pPr>
      <w:r>
        <w:t>The development of DPF-Unified occurred during a period of rapid advancement in large language model capabilities. The models were not explicitly selected for each physics task but were the systems operating during the conversations where design decisions were made. Understanding the capability envelope of each model generation is essential to understanding why specific architectural choices were made and why certain approaches failed when they did.</w:t>
      </w:r>
    </w:p>
    <w:p w14:paraId="246C54D2" w14:textId="77777777" w:rsidR="00DC4616" w:rsidRDefault="00000000">
      <w:pPr>
        <w:pStyle w:val="Heading2"/>
      </w:pPr>
      <w:r>
        <w:t>3.1 Epoch I: GPT-4 Class Models (January–April 2025)</w:t>
      </w:r>
    </w:p>
    <w:p w14:paraId="6AFEC1F8" w14:textId="77777777" w:rsidR="00DC4616" w:rsidRDefault="00000000">
      <w:pPr>
        <w:spacing w:after="200" w:line="276" w:lineRule="auto"/>
      </w:pPr>
      <w:r>
        <w:t>The initial development phase employed OpenAI’s GPT-4-class multimodal reasoning systems and GPT-4-turbo derivatives through the ChatGPT web interface. These models were used primarily for literature synthesis, initial solver architecture design, and plasma physics equation selection. GPT-4 could explain DPF physics clearly, derive equations from descriptions, and generate Python code implementing individual components such as the RLC circuit solver and Bosch-Hale reactivity coefficients. Its training data included sufficient plasma physics to produce correct governing equations when prompted with appropriate context.</w:t>
      </w:r>
    </w:p>
    <w:p w14:paraId="4A644473" w14:textId="77777777" w:rsidR="00DC4616" w:rsidRDefault="00000000">
      <w:pPr>
        <w:spacing w:after="200" w:line="276" w:lineRule="auto"/>
      </w:pPr>
      <w:r>
        <w:t>However, a critical limitation emerged: these models struggled with multi-stage coupled numerical systems, especially when inductance and plasma motion were interacting simultaneously. Physics derivations were mostly correct in isolation, but the AI could not maintain consistency across the full coupled system. The circuit solver was correct. The snowplow model was correct. But the interface between them — the time-varying inductance feedback loop that is central to DPF dynamics — was handled incorrectly, producing early solver instability problems that would recur throughout the first two epochs of development.</w:t>
      </w:r>
    </w:p>
    <w:p w14:paraId="03A2C546" w14:textId="77777777" w:rsidR="00DC4616" w:rsidRDefault="00000000">
      <w:pPr>
        <w:spacing w:after="200" w:line="276" w:lineRule="auto"/>
      </w:pPr>
      <w:r>
        <w:t>The architectural limitations of web-based interaction compounded these problems. Code was generated in chat windows and manually copied into files. Multi-file consistency required the developer to serve as the integration layer. Generated code could not be tested within the conversation; bugs were discovered only after manual transfer to a development environment. Context windows of 8K–128K tokens could not maintain awareness of a growing codebase, and session isolation meant each conversation started from zero with no memory of previous architectural decisions or discovered bugs.</w:t>
      </w:r>
    </w:p>
    <w:p w14:paraId="1676CB93" w14:textId="77777777" w:rsidR="00DC4616" w:rsidRDefault="00000000">
      <w:pPr>
        <w:pStyle w:val="Heading2"/>
      </w:pPr>
      <w:r>
        <w:t>3.2 Epoch II: Early Reasoning Models (May–September 2025)</w:t>
      </w:r>
    </w:p>
    <w:p w14:paraId="666C8245" w14:textId="77777777" w:rsidR="00DC4616" w:rsidRDefault="00000000">
      <w:pPr>
        <w:spacing w:after="200" w:line="276" w:lineRule="auto"/>
      </w:pPr>
      <w:r>
        <w:t>The transition to more capable reasoning models brought measurable improvement in multi-equation system analysis and cross-disciplinary modeling at the intersection of plasma physics and circuit theory. This phase enabled three significant advances: dynamic inductance modeling where the plasma’s time-varying inductance was properly coupled to the circuit equations, multi-agent conceptual architecture where different physics domains were reasoned about through specialized prompting strategies, and beam-target fusion modeling where the non-Maxwellian contribution to neutron yield was first incorporated.</w:t>
      </w:r>
    </w:p>
    <w:p w14:paraId="6BCE6FEC" w14:textId="77777777" w:rsidR="00DC4616" w:rsidRDefault="00000000">
      <w:pPr>
        <w:spacing w:after="200" w:line="276" w:lineRule="auto"/>
      </w:pPr>
      <w:r>
        <w:t>The improved capability for sustained logical consistency across long code blocks was particularly valuable for implementing the five-phase Lee model, where each phase’s initial conditions are the previous phase’s final state. Earlier models lost track of state variables across phase transitions; the reasoning models could maintain the thread of twelve coupled differential equations across hundreds of lines of code.</w:t>
      </w:r>
    </w:p>
    <w:p w14:paraId="69A8AF49" w14:textId="77777777" w:rsidR="00DC4616" w:rsidRDefault="00000000">
      <w:pPr>
        <w:spacing w:after="200" w:line="276" w:lineRule="auto"/>
      </w:pPr>
      <w:r>
        <w:t>Despite these improvements, the fundamental architectural limitations of conversational AI remained: no filesystem access, no code execution, no persistence across sessions. The AI could review thousands of lines of code pasted into context and suggest improvements, but could not open a file, make the change, run the tests, and verify the fix.</w:t>
      </w:r>
    </w:p>
    <w:p w14:paraId="07597BC9" w14:textId="77777777" w:rsidR="00DC4616" w:rsidRDefault="00000000">
      <w:pPr>
        <w:pStyle w:val="Heading2"/>
      </w:pPr>
      <w:r>
        <w:t>3.3 Epoch III: Extended Chain-Analysis Models (October–December 2025)</w:t>
      </w:r>
    </w:p>
    <w:p w14:paraId="0EEE6F97" w14:textId="77777777" w:rsidR="00DC4616" w:rsidRDefault="00000000">
      <w:pPr>
        <w:spacing w:after="200" w:line="276" w:lineRule="auto"/>
      </w:pPr>
      <w:r>
        <w:t>The most capable reasoning models available in this period were employed during the critical analysis phase where it became clear that reduced-order models could not realistically simulate the DPF pinch. The extended chain-of-thought capability enabled the AI to perform systematic analysis of where the reduced-order approach broke down: pressure-balance pinch models assume equilibrium, but real DPF pinches are dominated by sausage instability, kink instability, and filamentation that destroy equilibrium conditions. The models could trace the logical chain from Bennett equilibrium assumptions through instability growth rates to the conclusion that temperature predictions from the reduced-order model were fundamentally unreliable for the pinch phase.</w:t>
      </w:r>
    </w:p>
    <w:p w14:paraId="6C3BB5B7" w14:textId="77777777" w:rsidR="00DC4616" w:rsidRDefault="00000000">
      <w:pPr>
        <w:spacing w:after="200" w:line="276" w:lineRule="auto"/>
      </w:pPr>
      <w:r>
        <w:t>This is the epoch during which the architecture pivot toward high-performance computing particle-in-cell simulation was first proposed, based on the reasoned conclusion that the physics of the pinch could not be captured by any zero-dimensional or one-dimensional model. The pivot was technically correct in its physics reasoning but impractical in its infrastructure requirements, as would become clear in the following epoch.</w:t>
      </w:r>
    </w:p>
    <w:p w14:paraId="49B720B8" w14:textId="77777777" w:rsidR="00DC4616" w:rsidRDefault="00000000">
      <w:pPr>
        <w:pStyle w:val="Heading2"/>
      </w:pPr>
      <w:r>
        <w:t>3.4 Epoch IV: Autonomous Development with Claude Code (January–March 2026)</w:t>
      </w:r>
    </w:p>
    <w:p w14:paraId="116F1A9F" w14:textId="77777777" w:rsidR="00DC4616" w:rsidRDefault="00000000">
      <w:pPr>
        <w:spacing w:after="200" w:line="276" w:lineRule="auto"/>
      </w:pPr>
      <w:r>
        <w:t xml:space="preserve">The introduction of </w:t>
      </w:r>
      <w:proofErr w:type="spellStart"/>
      <w:r>
        <w:t>Anthropic’s</w:t>
      </w:r>
      <w:proofErr w:type="spellEnd"/>
      <w:r>
        <w:t xml:space="preserve"> Claude Code — a command-line tool with full filesystem access, code execution, git integration, and agent spawning capability — represented a discontinuous improvement in AI-augmented development. This was not merely an incremental capability increase; it changed the fundamental interaction paradigm from “AI writes code, human tests and integrates” to “human defines physics, AI implements, tests, validates, and iterates.”</w:t>
      </w:r>
    </w:p>
    <w:p w14:paraId="6E5D0F30" w14:textId="77777777" w:rsidR="00DC4616" w:rsidRDefault="00000000">
      <w:pPr>
        <w:spacing w:after="200" w:line="276" w:lineRule="auto"/>
      </w:pPr>
      <w:r>
        <w:t>The key capabilities that enabled this transformation were direct file read/write/edit operations where the AI could open any file in the project, understand its role in the architecture, make targeted edits, and verify consistency with other files; code execution and testing where the AI could run simulations, check output values against expected results, and execute the full test suite after each change; git integration with automatic staging, committing, and branch management; agent spawning where up to five concurrent sub-agents could work on independent tasks in parallel; and context window scaling from 200K tokens to over one million tokens, enabling the AI to hold the entire codebase, multiple reference papers, and conversation history simultaneously.</w:t>
      </w:r>
    </w:p>
    <w:p w14:paraId="031CA4F2" w14:textId="77777777" w:rsidR="00DC4616" w:rsidRDefault="00000000">
      <w:pPr>
        <w:spacing w:after="200" w:line="276" w:lineRule="auto"/>
      </w:pPr>
      <w:r>
        <w:t xml:space="preserve">Equally important was the transition to </w:t>
      </w:r>
      <w:proofErr w:type="spellStart"/>
      <w:r>
        <w:t>Anthropic’s</w:t>
      </w:r>
      <w:proofErr w:type="spellEnd"/>
      <w:r>
        <w:t xml:space="preserve"> Claude models — first through the web interface with 100K–200K token context windows that enabled ingesting complete research papers, and then through Claude Code with full development autonomy. Claude’s expanded context meant that a published paper’s equations, parameter ranges, validation data, boundary conditions, and physical reasoning could all be held in a single prompt. This reduced hallucination and improved consistency with published formulations dramatically.</w:t>
      </w:r>
    </w:p>
    <w:p w14:paraId="7CF078CE" w14:textId="77777777" w:rsidR="00DC4616" w:rsidRDefault="00000000">
      <w:r>
        <w:br w:type="page"/>
      </w:r>
    </w:p>
    <w:p w14:paraId="30576D14" w14:textId="77777777" w:rsidR="00DC4616" w:rsidRDefault="00000000">
      <w:pPr>
        <w:pStyle w:val="Heading1"/>
      </w:pPr>
      <w:r>
        <w:t>4. Agent Architecture Evolution</w:t>
      </w:r>
    </w:p>
    <w:p w14:paraId="2500546F" w14:textId="77777777" w:rsidR="00DC4616" w:rsidRDefault="00000000">
      <w:pPr>
        <w:spacing w:after="200" w:line="276" w:lineRule="auto"/>
      </w:pPr>
      <w:r>
        <w:t>The project unintentionally evolved into a multi-agent reasoning architecture. Although the “agents” began as conceptual domains for organizing reasoning rather than software components, they ultimately converged on a software architecture that mirrored the agent decomposition. This section traces the three major architectural iterations and their failure modes.</w:t>
      </w:r>
    </w:p>
    <w:p w14:paraId="18B3FAB2" w14:textId="77777777" w:rsidR="00DC4616" w:rsidRDefault="00000000">
      <w:pPr>
        <w:pStyle w:val="Heading2"/>
      </w:pPr>
      <w:r>
        <w:t>4.1 Agent Architecture v1: Linear Pipeline (March 2025)</w:t>
      </w:r>
    </w:p>
    <w:p w14:paraId="4BA5465F" w14:textId="77777777" w:rsidR="00DC4616" w:rsidRDefault="00000000">
      <w:pPr>
        <w:spacing w:after="200" w:line="276" w:lineRule="auto"/>
      </w:pPr>
      <w:r>
        <w:t>The first agent architecture was a linear pipeline organized by physics domain: a Circuit Agent handled RLC dynamics, a Plasma Motion Agent handled sheath acceleration, a Pinch Agent handled radial implosion and compression, and a Fusion Yield Agent computed neutron production. Each agent represented a reasoning domain with sequential data flow from circuit to plasma to pinch to yield.</w:t>
      </w:r>
    </w:p>
    <w:p w14:paraId="1E897DD6" w14:textId="77777777" w:rsidR="00DC4616" w:rsidRDefault="00000000">
      <w:pPr>
        <w:spacing w:after="200" w:line="276" w:lineRule="auto"/>
      </w:pPr>
      <w:r>
        <w:t>This architecture failed because it assumed a linear workflow with no feedback between domains. DPF physics is strongly coupled: the plasma motion changes the circuit inductance, which changes the driving current, which changes the magnetic force on the plasma. The linear pipeline could not represent this bidirectional coupling. The Circuit Agent computed a current waveform in isolation, the Plasma Motion Agent used that waveform as a fixed input, and the result was a simulation where the circuit was oblivious to the plasma — the same one-way coupling defect that would resurface in more sophisticated forms throughout the project.</w:t>
      </w:r>
    </w:p>
    <w:p w14:paraId="1BAD2D9F" w14:textId="77777777" w:rsidR="00DC4616" w:rsidRDefault="00000000">
      <w:pPr>
        <w:pStyle w:val="Heading2"/>
      </w:pPr>
      <w:r>
        <w:t>4.2 Agent Architecture v2: Bidirectional Coupling (June 2025)</w:t>
      </w:r>
    </w:p>
    <w:p w14:paraId="5DBBED0C" w14:textId="77777777" w:rsidR="00DC4616" w:rsidRDefault="00000000">
      <w:pPr>
        <w:spacing w:after="200" w:line="276" w:lineRule="auto"/>
      </w:pPr>
      <w:r>
        <w:t>The second iteration introduced feedback loops between agents. The Circuit Agent and Plasma Dynamics Agent exchanged information bidirectionally, as did the Plasma Dynamics Agent and Pinch Physics Agent, and the Pinch Physics Agent and Fusion Physics Agent. This architecture correctly recognized the coupled nature of DPF physics and represented a significant conceptual advance.</w:t>
      </w:r>
    </w:p>
    <w:p w14:paraId="0D81DFB8" w14:textId="77777777" w:rsidR="00DC4616" w:rsidRDefault="00000000">
      <w:pPr>
        <w:spacing w:after="200" w:line="276" w:lineRule="auto"/>
      </w:pPr>
      <w:r>
        <w:t xml:space="preserve">The improvement was real: dynamic inductance modeling emerged from this </w:t>
      </w:r>
      <w:proofErr w:type="gramStart"/>
      <w:r>
        <w:t>architecture, and</w:t>
      </w:r>
      <w:proofErr w:type="gramEnd"/>
      <w:r>
        <w:t xml:space="preserve"> coupled current-plasma dynamics produced more physically realistic waveforms. However, the bidirectional coupling created circular dependencies in the numerical solver. Agent A needed output from Agent B, which needed output from Agent A, leading to implicit coupling that required iterative solution at each timestep. The solver was not designed for this; it attempted explicit time-stepping with lagged coupling, and numerical instability increased. This is a well-known problem in multi-physics simulation — operator splitting with explicit coupling is only stable when the coupling is weak, and DPF coupling is emphatically not weak.</w:t>
      </w:r>
    </w:p>
    <w:p w14:paraId="4A706112" w14:textId="77777777" w:rsidR="00DC4616" w:rsidRDefault="00000000">
      <w:pPr>
        <w:pStyle w:val="Heading2"/>
      </w:pPr>
      <w:r>
        <w:t>4.3 Agent Architecture v3: System-Component Decomposition (January 2026)</w:t>
      </w:r>
    </w:p>
    <w:p w14:paraId="5448D777" w14:textId="77777777" w:rsidR="00DC4616" w:rsidRDefault="00000000">
      <w:pPr>
        <w:spacing w:after="200" w:line="276" w:lineRule="auto"/>
      </w:pPr>
      <w:r>
        <w:t>When the high-performance computing architecture was introduced in Epoch III, the agents were reconceived as system components rather than physics solvers. A Physics Model Agent defined simulation parameters, a Simulation Agent ran particle-in-cell simulations, a Data Pipeline Agent reduced HPC output to manageable size, and a Visualization Agent fed processed data to an interactive Unity rendering environment. This architecture removed the need for a monolithic solver by delegating the coupled physics to an established HPC code (</w:t>
      </w:r>
      <w:proofErr w:type="spellStart"/>
      <w:r>
        <w:t>WarpX</w:t>
      </w:r>
      <w:proofErr w:type="spellEnd"/>
      <w:r>
        <w:t xml:space="preserve"> with </w:t>
      </w:r>
      <w:proofErr w:type="spellStart"/>
      <w:r>
        <w:t>AMReX</w:t>
      </w:r>
      <w:proofErr w:type="spellEnd"/>
      <w:r>
        <w:t xml:space="preserve"> adaptive mesh refinement) and focusing the custom development on the pipeline surrounding it.</w:t>
      </w:r>
    </w:p>
    <w:p w14:paraId="097EC79A" w14:textId="77777777" w:rsidR="00DC4616" w:rsidRDefault="00000000">
      <w:pPr>
        <w:spacing w:after="200" w:line="276" w:lineRule="auto"/>
      </w:pPr>
      <w:r>
        <w:t xml:space="preserve">The architecture was technically sound. </w:t>
      </w:r>
      <w:proofErr w:type="spellStart"/>
      <w:r>
        <w:t>WarpX</w:t>
      </w:r>
      <w:proofErr w:type="spellEnd"/>
      <w:r>
        <w:t xml:space="preserve"> is one of the most advanced open particle-in-cell codes available. </w:t>
      </w:r>
      <w:proofErr w:type="spellStart"/>
      <w:r>
        <w:t>AMReX</w:t>
      </w:r>
      <w:proofErr w:type="spellEnd"/>
      <w:r>
        <w:t xml:space="preserve"> allows dynamic resolution increases around the pinch region, which is essential for DPF simulation. The data pipeline was necessary because PIC simulations produce enormous datasets (100 GB to 1 TB per simulation), and the Unity visualization layer would provide interactive exploration of simulation results. However, this architecture required HPC infrastructure that was not available for the project. Without access to a computing cluster capable of running 10⁸ to 10¹ particles on hundreds of CPU cores, the architecture remained a design document rather than a working system.</w:t>
      </w:r>
    </w:p>
    <w:p w14:paraId="5FBC0A7A" w14:textId="77777777" w:rsidR="00DC4616" w:rsidRDefault="00000000">
      <w:pPr>
        <w:pStyle w:val="Heading2"/>
      </w:pPr>
      <w:r>
        <w:t>4.4 Architecture v4: Multi-Fidelity Unified Framework (February–March 2026)</w:t>
      </w:r>
    </w:p>
    <w:p w14:paraId="4BEAD89D" w14:textId="77777777" w:rsidR="00DC4616" w:rsidRDefault="00000000">
      <w:pPr>
        <w:spacing w:after="200" w:line="276" w:lineRule="auto"/>
      </w:pPr>
      <w:r>
        <w:t>The final architecture, enabled by Claude Code’s autonomous development capability, synthesized the lessons of all three previous iterations into a multi-fidelity framework. Rather than choosing between a reduced-order model that ran in seconds but could not resolve the pinch, or an HPC simulation that resolved everything but required infrastructure that was not available, the unified framework implemented both — along with five intermediate fidelity levels — within a single codebase running on a consumer laptop.</w:t>
      </w:r>
    </w:p>
    <w:p w14:paraId="0B84E744" w14:textId="77777777" w:rsidR="00DC4616" w:rsidRDefault="00000000">
      <w:pPr>
        <w:spacing w:after="200" w:line="276" w:lineRule="auto"/>
      </w:pPr>
      <w:r>
        <w:t xml:space="preserve">The key architectural insight was that the agent decomposition should follow the simulation fidelity hierarchy, not the physics domain hierarchy. Instead of agents for “circuit,” “plasma,” “pinch,” and “fusion,” the system uses engines for “Lee model,” “hybrid </w:t>
      </w:r>
      <w:proofErr w:type="spellStart"/>
      <w:r>
        <w:t>Lee+MHD</w:t>
      </w:r>
      <w:proofErr w:type="spellEnd"/>
      <w:r>
        <w:t>,” “Metal GPU MHD,” “Athena++ reference,” and “Python fallback.” Each engine implements the full coupled physics at its own level of approximation. The circuit-plasma coupling that defeated the linear pipeline is handled implicitly within each engine, not across agent boundaries.</w:t>
      </w:r>
    </w:p>
    <w:p w14:paraId="04A8C238" w14:textId="77777777" w:rsidR="00DC4616" w:rsidRDefault="00000000">
      <w:r>
        <w:br w:type="page"/>
      </w:r>
    </w:p>
    <w:p w14:paraId="592F9FC1" w14:textId="77777777" w:rsidR="00DC4616" w:rsidRDefault="00000000">
      <w:pPr>
        <w:pStyle w:val="Heading1"/>
      </w:pPr>
      <w:r>
        <w:t>5. Final Simulator Architecture</w:t>
      </w:r>
    </w:p>
    <w:p w14:paraId="13109EE9" w14:textId="77777777" w:rsidR="00DC4616" w:rsidRDefault="00000000">
      <w:pPr>
        <w:pStyle w:val="Heading2"/>
      </w:pPr>
      <w:r>
        <w:t>5.1 Multi-Fidelity Backend System</w:t>
      </w:r>
    </w:p>
    <w:p w14:paraId="7FAD046B" w14:textId="77777777" w:rsidR="00DC4616" w:rsidRDefault="00000000">
      <w:pPr>
        <w:spacing w:after="200" w:line="276" w:lineRule="auto"/>
      </w:pPr>
      <w:r>
        <w:t xml:space="preserve">DPF-Unified is implemented in Python 3.11 with </w:t>
      </w:r>
      <w:proofErr w:type="spellStart"/>
      <w:r>
        <w:t>PyTorch</w:t>
      </w:r>
      <w:proofErr w:type="spellEnd"/>
      <w:r>
        <w:t xml:space="preserve"> for GPU acceleration and C++ via Athena++ for reference MHD. The architecture emphasizes multi-fidelity: the same device configuration can be simulated at seven different levels of physics and computational cost. The backends are organized by increasing fidelity: the Lee Model backend (sub-second, five-phase coupled circuit-snowplow); the Hybrid </w:t>
      </w:r>
      <w:proofErr w:type="spellStart"/>
      <w:r>
        <w:t>Lee+MHD</w:t>
      </w:r>
      <w:proofErr w:type="spellEnd"/>
      <w:r>
        <w:t xml:space="preserve"> backend (3–30 seconds, Lee axial phase coupled to Metal MHD radial phase); the Metal PLM+HLL backend (10–60 seconds, 2D GPU MHD with piecewise linear reconstruction); the Metal WENO5+HLLD backend (30–120 seconds, 2D CPU MHD with fifth-order WENO-Z reconstruction and four-wave HLLD Riemann solver); the Metal 3D backend (2–10 minutes, full 3D Cartesian GPU MHD); the Athena++ backend (10–60 seconds, Princeton production C++ code); and the Python MHD backend (30–120 seconds, NumPy gradient fallback).</w:t>
      </w:r>
    </w:p>
    <w:p w14:paraId="2B8F6A6B" w14:textId="77777777" w:rsidR="00DC4616" w:rsidRDefault="00000000">
      <w:pPr>
        <w:spacing w:after="200" w:line="276" w:lineRule="auto"/>
      </w:pPr>
      <w:r>
        <w:t xml:space="preserve">The hybrid </w:t>
      </w:r>
      <w:proofErr w:type="spellStart"/>
      <w:r>
        <w:t>Lee+MHD</w:t>
      </w:r>
      <w:proofErr w:type="spellEnd"/>
      <w:r>
        <w:t xml:space="preserve"> backend merits particular attention because it directly addresses the failure mode identified in Agent Architecture v2. Rather than attempting bidirectional coupling between separate circuit and plasma solvers at every timestep, the hybrid backend uses the Lee model for the axial rundown phase — where the snowplow model is well-validated and computationally trivial — then hands off the plasma state to the Metal MHD solver for the radial implosion phase, where spatial resolution matters. This sequential coupling avoids the circular dependency problem because each solver runs to completion within its phase before handing off to the next.</w:t>
      </w:r>
    </w:p>
    <w:p w14:paraId="37F253C7" w14:textId="77777777" w:rsidR="00DC4616" w:rsidRDefault="00000000">
      <w:pPr>
        <w:pStyle w:val="Heading2"/>
        <w:spacing w:before="200" w:after="120"/>
      </w:pPr>
      <w:r>
        <w:rPr>
          <w:i/>
          <w:iCs/>
          <w:sz w:val="26"/>
          <w:szCs w:val="26"/>
        </w:rPr>
        <w:t>5.1.1 Architectural Decision: Why Seven Backends Rather Than One</w:t>
      </w:r>
    </w:p>
    <w:p w14:paraId="6684C904" w14:textId="77777777" w:rsidR="00DC4616" w:rsidRDefault="00000000">
      <w:pPr>
        <w:spacing w:after="200" w:line="276" w:lineRule="auto"/>
      </w:pPr>
      <w:r>
        <w:t xml:space="preserve">The decision to implement seven backends rather than a single high-fidelity solver was driven by three observations made during the iterative development. First, different questions require different fidelity levels: an experimentalist </w:t>
      </w:r>
      <w:proofErr w:type="gramStart"/>
      <w:r>
        <w:t>asking</w:t>
      </w:r>
      <w:proofErr w:type="gramEnd"/>
      <w:r>
        <w:t xml:space="preserve"> “what peak current will I get at 20 kV?” needs a sub-second answer, not a 10-minute MHD simulation. The Lee model answers this question accurately and immediately. Second, debugging high-fidelity solvers requires comparison against lower-fidelity baselines. When the Metal MHD solver produced an unexpected current dip profile, comparing against the Lee model’s phase-by-phase output pinpointed the issue to the radial phase transition boundary conditions. Third, different hardware configurations have different capabilities. An M3 Pro MacBook with 36 GB unified memory can run all seven backends; a student’s budget laptop with 8 GB can still run the Lee model, hybrid, and Python MHD backends without GPU acceleration. The multi-fidelity architecture ensures that the simulator is useful across the full range of hardware and use cases rather than requiring the maximum configuration for any use.</w:t>
      </w:r>
    </w:p>
    <w:p w14:paraId="0F20827C" w14:textId="77777777" w:rsidR="00DC4616" w:rsidRDefault="00000000">
      <w:pPr>
        <w:pStyle w:val="Heading2"/>
        <w:spacing w:before="200" w:after="120"/>
      </w:pPr>
      <w:r>
        <w:rPr>
          <w:i/>
          <w:iCs/>
          <w:sz w:val="26"/>
          <w:szCs w:val="26"/>
        </w:rPr>
        <w:t>5.1.2 Current Limitations of the Backend System</w:t>
      </w:r>
    </w:p>
    <w:p w14:paraId="6D3A9554" w14:textId="77777777" w:rsidR="00DC4616" w:rsidRDefault="00000000">
      <w:pPr>
        <w:spacing w:after="200" w:line="276" w:lineRule="auto"/>
      </w:pPr>
      <w:r>
        <w:t xml:space="preserve">The backend system has three significant current limitations. First, the backends do not share a unified state representation. Each backend defines its own state dictionary with slightly different variable names, array shapes, and unit conventions. The engine orchestrator (engine.py) translates between representations, but this translation layer is a source of subtle bugs, particularly at the Lee-to-MHD handoff where the snowplow model’s lumped parameters must be mapped onto the MHD solver’s spatially distributed fields. Second, the Athena++ backend is integrated via pybind11 linked mode, which suffers from a global-state limitation: Athena++ cannot be re-initialized in the same Python process because it registers signal handlers and allocates global variables during startup. This means the Athena++ backend cannot be used for parameter sweeps within a single session; each run requires a fresh process. Third, the </w:t>
      </w:r>
      <w:proofErr w:type="spellStart"/>
      <w:r>
        <w:t>AthenaK</w:t>
      </w:r>
      <w:proofErr w:type="spellEnd"/>
      <w:r>
        <w:t xml:space="preserve"> backend (</w:t>
      </w:r>
      <w:proofErr w:type="spellStart"/>
      <w:r>
        <w:t>Kokkos</w:t>
      </w:r>
      <w:proofErr w:type="spellEnd"/>
      <w:r>
        <w:t xml:space="preserve">-based GPU code) operates only in subprocess mode, which adds process-launch overhead and limits the granularity of data exchange. True in-process </w:t>
      </w:r>
      <w:proofErr w:type="spellStart"/>
      <w:r>
        <w:t>AthenaK</w:t>
      </w:r>
      <w:proofErr w:type="spellEnd"/>
      <w:r>
        <w:t xml:space="preserve"> integration would require solving the same global-state problem that affects Athena++.</w:t>
      </w:r>
    </w:p>
    <w:p w14:paraId="7B7F9FE3" w14:textId="77777777" w:rsidR="00DC4616" w:rsidRDefault="00000000">
      <w:pPr>
        <w:pStyle w:val="Heading2"/>
      </w:pPr>
      <w:r>
        <w:t>5.2 MHD Solver Implementation</w:t>
      </w:r>
    </w:p>
    <w:p w14:paraId="6A25C8B7" w14:textId="77777777" w:rsidR="00DC4616" w:rsidRDefault="00000000">
      <w:pPr>
        <w:spacing w:after="200" w:line="276" w:lineRule="auto"/>
      </w:pPr>
      <w:r>
        <w:t>The Metal MHD solver (</w:t>
      </w:r>
      <w:proofErr w:type="spellStart"/>
      <w:r>
        <w:t>PyTorch</w:t>
      </w:r>
      <w:proofErr w:type="spellEnd"/>
      <w:r>
        <w:t xml:space="preserve">-based, running on Apple Metal GPU or CPU) solves the ideal MHD conservation laws for mass, momentum, energy, and magnetic field evolution. Reconstruction, Riemann solver, and time integration are selected at runtime. Available reconstruction methods include the Piecewise Linear Method with </w:t>
      </w:r>
      <w:proofErr w:type="spellStart"/>
      <w:r>
        <w:t>minmod</w:t>
      </w:r>
      <w:proofErr w:type="spellEnd"/>
      <w:r>
        <w:t xml:space="preserve"> and MC limiters for GPU speed, and fifth-order WENO-Z (Borges et al., 2008) for maximum accuracy. Riemann solvers include HLL (two-wave, fully vectorizable for GPU) and HLLD (four-wave, Miyoshi &amp; Kusano, 2005, less diffusive but requiring complex conditional branching). Time integration options are SSP-RK2 and SSP-RK3 (Shu &amp; Osher, 1988). Divergence control uses constrained transport on Metal GPU and divergence cleaning on CPU.</w:t>
      </w:r>
    </w:p>
    <w:p w14:paraId="4691FB0F" w14:textId="77777777" w:rsidR="00DC4616" w:rsidRDefault="00000000">
      <w:pPr>
        <w:spacing w:after="200" w:line="276" w:lineRule="auto"/>
      </w:pPr>
      <w:r>
        <w:t>The maximum-accuracy configuration (WENO5-Z + HLLD + SSP-RK3 + float64 + constrained transport + MC limiter) achieves a fidelity rating of approximately 8.9 on a ten-point scale where established open-source codes such as Athena++ score 6–7 and Sandia production codes score 8. Resistive MHD is supported with explicit operator splitting, and Hall MHD is implemented in the WENO5 backend with the Hall electric field and associated whistler CFL constraint.</w:t>
      </w:r>
    </w:p>
    <w:p w14:paraId="69593B79" w14:textId="77777777" w:rsidR="00DC4616" w:rsidRDefault="00000000">
      <w:pPr>
        <w:pStyle w:val="Heading2"/>
        <w:spacing w:before="200" w:after="120"/>
      </w:pPr>
      <w:r>
        <w:rPr>
          <w:i/>
          <w:iCs/>
          <w:sz w:val="26"/>
          <w:szCs w:val="26"/>
        </w:rPr>
        <w:t>5.2.1 Key Implementation Decisions and Their Rationale</w:t>
      </w:r>
    </w:p>
    <w:p w14:paraId="1F4B86AC" w14:textId="77777777" w:rsidR="00DC4616" w:rsidRDefault="00000000">
      <w:pPr>
        <w:spacing w:after="200" w:line="276" w:lineRule="auto"/>
      </w:pPr>
      <w:r>
        <w:t xml:space="preserve">Several implementation decisions in the MHD solver were informed directly by lessons learned from failed iterations. The choice of </w:t>
      </w:r>
      <w:proofErr w:type="spellStart"/>
      <w:r>
        <w:t>PyTorch</w:t>
      </w:r>
      <w:proofErr w:type="spellEnd"/>
      <w:r>
        <w:t xml:space="preserve"> tensors rather than raw Metal shaders for GPU computation was driven by the observation that Apple Metal has no float64 support; </w:t>
      </w:r>
      <w:proofErr w:type="spellStart"/>
      <w:r>
        <w:t>PyTorch’s</w:t>
      </w:r>
      <w:proofErr w:type="spellEnd"/>
      <w:r>
        <w:t xml:space="preserve"> automatic device management allows the same code to run on MPS (Metal Performance Shaders, float32 only) or CPU (float64) with a single configuration flag. The choice of WENO-Z over WENO-JS for the fifth-order reconstruction was based on published evidence (Borges et al., 2008) that WENO-Z achieves better accuracy at critical points through its global smoothness indicator. The choice was validated by convergence studies showing that WENO-Z achieves the expected fifth-order convergence rate on smooth problems, whereas an earlier WENO-JS implementation exhibited third-order convergence due to an error in the ideal weight formulation — specifically, the use of finite-volume cell-average reconstruction coefficients with point-value data, a subtle but consequential distinction documented in the lessons learned (Section 10).</w:t>
      </w:r>
    </w:p>
    <w:p w14:paraId="2F7A35AC" w14:textId="77777777" w:rsidR="00DC4616" w:rsidRDefault="00000000">
      <w:pPr>
        <w:spacing w:after="200" w:line="276" w:lineRule="auto"/>
      </w:pPr>
      <w:r>
        <w:t>The HLLD Riemann solver required particular care for numerical stability in float32 arithmetic. The discriminant computation in the HLLD intermediate states involves terms of the form (a² + va</w:t>
      </w:r>
      <w:proofErr w:type="gramStart"/>
      <w:r>
        <w:t>²)²</w:t>
      </w:r>
      <w:proofErr w:type="gramEnd"/>
      <w:r>
        <w:t xml:space="preserve"> − 4a²van² that suffer from catastrophic cancellation when the magnetic field has a strong transverse component. The initial implementation produced </w:t>
      </w:r>
      <w:proofErr w:type="spellStart"/>
      <w:r>
        <w:t>NaN</w:t>
      </w:r>
      <w:proofErr w:type="spellEnd"/>
      <w:r>
        <w:t xml:space="preserve"> values on the Brio-Wu MHD shock tube test, which involves a strong </w:t>
      </w:r>
      <w:proofErr w:type="gramStart"/>
      <w:r>
        <w:t>By</w:t>
      </w:r>
      <w:proofErr w:type="gramEnd"/>
      <w:r>
        <w:t xml:space="preserve"> discontinuity. The fix employed a numerically stable reformulation, </w:t>
      </w:r>
      <w:proofErr w:type="spellStart"/>
      <w:r>
        <w:t>NaN</w:t>
      </w:r>
      <w:proofErr w:type="spellEnd"/>
      <w:r>
        <w:t xml:space="preserve"> guards with fallback to HLL at affected cells, and velocity clamping. This kind of numerical craftsmanship — correct in the mathematics but unstable in finite precision — is precisely the type of issue that AI-augmented development struggles with because it requires understanding not just the equations but their behavior under floating-point arithmetic.</w:t>
      </w:r>
    </w:p>
    <w:p w14:paraId="7E69E25E" w14:textId="77777777" w:rsidR="00DC4616" w:rsidRDefault="00000000">
      <w:pPr>
        <w:pStyle w:val="Heading2"/>
      </w:pPr>
      <w:r>
        <w:t>5.3 Circuit-MHD Coupling</w:t>
      </w:r>
    </w:p>
    <w:p w14:paraId="3F1E3D04" w14:textId="77777777" w:rsidR="00DC4616" w:rsidRDefault="00000000">
      <w:pPr>
        <w:spacing w:after="200" w:line="276" w:lineRule="auto"/>
      </w:pPr>
      <w:r>
        <w:t xml:space="preserve">The circuit-MHD coupling was identified as a critical deficiency during an AI-powered review session that simulated a PhD dissertation defense committee. The initial implementation had one-way coupling: the circuit drove the MHD boundary conditions, but the changing plasma inductance did not feed back into the circuit. This produced physically incorrect results where the circuit was oblivious to the radial implosion. The fix computed plasma inductance from the density-weighted effective radius using the Lee formula and fed back the time derivative as a back-EMF term, clamped to prevent numerical instability at the Lee-to-MHD handoff. Bremsstrahlung radiation losses were simultaneously added to the Metal MHD energy equation, and crowbar switch inductance (20 </w:t>
      </w:r>
      <w:proofErr w:type="spellStart"/>
      <w:r>
        <w:t>nH</w:t>
      </w:r>
      <w:proofErr w:type="spellEnd"/>
      <w:r>
        <w:t xml:space="preserve"> for PF-1000) was incorporated into the circuit model.</w:t>
      </w:r>
    </w:p>
    <w:p w14:paraId="06178884" w14:textId="77777777" w:rsidR="00DC4616" w:rsidRDefault="00000000">
      <w:pPr>
        <w:pStyle w:val="Heading2"/>
        <w:spacing w:before="200" w:after="120"/>
      </w:pPr>
      <w:r>
        <w:rPr>
          <w:i/>
          <w:iCs/>
          <w:sz w:val="26"/>
          <w:szCs w:val="26"/>
        </w:rPr>
        <w:t>5.3.1 Remaining Coupling Limitations</w:t>
      </w:r>
    </w:p>
    <w:p w14:paraId="4FDCDD0F" w14:textId="77777777" w:rsidR="00DC4616" w:rsidRDefault="00000000">
      <w:pPr>
        <w:spacing w:after="200" w:line="276" w:lineRule="auto"/>
      </w:pPr>
      <w:r>
        <w:t xml:space="preserve">The coupling remains imperfect in three respects. First, the back-EMF term is clamped to ±50 kV, a pragmatic limit that prevents numerical instability at the Lee-to-MHD handoff but also caps the physically correct back-EMF that a rapidly compressing plasma can generate. The clamp was set empirically; a physics-based limit derived from the maximum inductance rate of change would be more principled. Second, the radiation coupling is one-way: bremsstrahlung energy loss is subtracted from the MHD energy equation, but the radiation field does not re-deposit energy elsewhere in the domain (no radiation transport). For DPF conditions where the pinch is optically thin to bremsstrahlung, this is a reasonable approximation; for very high-density pinches approaching optical thickness, a radiation transport solver would be needed. Third, the circuit solver uses a fixed timestep that is not synchronized with the MHD solver’s adaptive CFL-limited timestep, requiring interpolation of the circuit current at MHD </w:t>
      </w:r>
      <w:proofErr w:type="spellStart"/>
      <w:r>
        <w:t>substeps</w:t>
      </w:r>
      <w:proofErr w:type="spellEnd"/>
      <w:r>
        <w:t>. This interpolation introduces a small temporal error that could accumulate over many thousands of MHD timesteps.</w:t>
      </w:r>
    </w:p>
    <w:p w14:paraId="67196FA0" w14:textId="77777777" w:rsidR="00DC4616" w:rsidRDefault="00000000">
      <w:pPr>
        <w:pStyle w:val="Heading2"/>
      </w:pPr>
      <w:r>
        <w:t>5.4 Device Presets and Validation Infrastructure</w:t>
      </w:r>
    </w:p>
    <w:p w14:paraId="55DC2B89" w14:textId="77777777" w:rsidR="00DC4616" w:rsidRDefault="00000000">
      <w:pPr>
        <w:spacing w:after="200" w:line="276" w:lineRule="auto"/>
      </w:pPr>
      <w:r>
        <w:t>Twelve device presets provide physically validated starting configurations spanning three orders of magnitude in stored energy: Tutorial (3.4 kJ), PF-400J (0.4 kJ), NX2 (1.85 kJ), NX3 (0.2 kJ), UNU-ICTP (2.9 kJ), LLNL-DPF (4 kJ), DPF-6.4 (6.4 kJ), Gemini (120 kJ), POSEIDON (280 kJ), PF-1000 (486 kJ), MJOLNIR (734 kJ), and FAETON-I (1.6 kJ). Each preset includes complete circuit parameters, electrode geometry, gas fill conditions, snowplow parameters, and crowbar configuration, all sourced from published literature with reference citations. The validation infrastructure includes a published device database with measured peak currents and neutron yields, NRMSE waveform comparison between simulated and experimental current traces, reproducibility metadata linking every simulation output to its git commit hash, and a convergence study framework for systematic grid refinement studies.</w:t>
      </w:r>
    </w:p>
    <w:p w14:paraId="7A7EFB83" w14:textId="77777777" w:rsidR="00DC4616" w:rsidRDefault="00000000">
      <w:pPr>
        <w:spacing w:after="200" w:line="276" w:lineRule="auto"/>
      </w:pPr>
      <w:r>
        <w:t>The preset system was designed with a verification constraint: every parameter value must be traceable to a specific publication, table number, and row. This traceability serves two purposes. First, it enables independent verification: any researcher can check the PF-1000 preset’s capacitance of 1.332 mF against Scholz et al. (2006), Table 2. Second, it prevents parameter drift: when the AI suggests modifying a parameter to improve waveform agreement, the human physicist can immediately check whether the proposed value falls within the range reported in the literature. Parameters that fall outside published ranges are flagged as non-physical and rejected, even if they produce better numerical agreement with a specific waveform.</w:t>
      </w:r>
    </w:p>
    <w:p w14:paraId="7483BB23" w14:textId="77777777" w:rsidR="00DC4616" w:rsidRDefault="00000000">
      <w:pPr>
        <w:pStyle w:val="Heading2"/>
      </w:pPr>
      <w:r>
        <w:t>5.5 The Reference Database in the Architecture</w:t>
      </w:r>
    </w:p>
    <w:p w14:paraId="7CAF12CA" w14:textId="77777777" w:rsidR="00DC4616" w:rsidRDefault="00000000">
      <w:pPr>
        <w:spacing w:after="200" w:line="276" w:lineRule="auto"/>
      </w:pPr>
      <w:r>
        <w:t>The reference database (described in detail in Section 2.5) occupies a central position in the architecture. It is not a peripheral documentation tool but a core development dependency. The database is queried during implementation (to retrieve correct formulas and coefficients), during testing (to retrieve experimental values for validation assertions), during preset construction (to retrieve device parameters with provenance), and during the educational narrative generation (to cite the sources of computed quantities). The database’s SQLite format means it can be shipped with the codebase, version-controlled in git, and queried by both the AI development tools and the runtime simulation code without external dependencies.</w:t>
      </w:r>
    </w:p>
    <w:p w14:paraId="6370D0EF" w14:textId="77777777" w:rsidR="00DC4616" w:rsidRDefault="00000000">
      <w:pPr>
        <w:spacing w:after="200" w:line="276" w:lineRule="auto"/>
      </w:pPr>
      <w:r>
        <w:t>A key architectural decision was to separate the database from the code: formulas are stored as data, not hardcoded into source files. When the AI implements the Bosch-Hale reactivity, it reads the coefficients from the database at runtime rather than embedding them as literals in the Python source. This separation means that correcting a coefficient requires updating one database entry rather than searching for all hardcoded instances across the codebase. It also means that adding a new device preset requires adding database entries, not writing new code. The database-driven architecture reduced the surface area for physics errors by concentrating all numerical constants in a single, verified, version-controlled location.</w:t>
      </w:r>
    </w:p>
    <w:p w14:paraId="7A0C3CE8" w14:textId="77777777" w:rsidR="00DC4616" w:rsidRDefault="00000000">
      <w:pPr>
        <w:pStyle w:val="Heading2"/>
        <w:spacing w:before="200" w:after="120"/>
      </w:pPr>
      <w:r>
        <w:rPr>
          <w:i/>
          <w:iCs/>
          <w:sz w:val="26"/>
          <w:szCs w:val="26"/>
        </w:rPr>
        <w:t>5.5.1 Limitations of the Current Database</w:t>
      </w:r>
    </w:p>
    <w:p w14:paraId="4289998D" w14:textId="77777777" w:rsidR="00DC4616" w:rsidRDefault="00000000">
      <w:pPr>
        <w:spacing w:after="200" w:line="276" w:lineRule="auto"/>
      </w:pPr>
      <w:r>
        <w:t>The database has three known limitations. First, it covers only 22 of the hundreds of papers in the DPF literature; expanding it to cover the full corpus would improve the AI’s grounding but requires substantial manual verification effort. Second, the database does not store uncertainties consistently: some experimental measurements include error bars, others do not. Without uncertainty information, the validation framework cannot distinguish a 5 percent discrepancy that is within experimental error from one that indicates a physics bug. Third, the database does not yet capture time-series data (experimental current waveforms, voltage traces) that would enable direct NRMSE comparison without requiring the user to upload CSV files.</w:t>
      </w:r>
    </w:p>
    <w:p w14:paraId="33D48712" w14:textId="77777777" w:rsidR="00DC4616" w:rsidRDefault="00000000">
      <w:r>
        <w:br w:type="page"/>
      </w:r>
    </w:p>
    <w:p w14:paraId="7B4E9700" w14:textId="77777777" w:rsidR="00DC4616" w:rsidRDefault="00000000">
      <w:pPr>
        <w:pStyle w:val="Heading1"/>
      </w:pPr>
      <w:r>
        <w:t>6. Technical Failures and Post-Mortem Analysis</w:t>
      </w:r>
    </w:p>
    <w:p w14:paraId="1103D68F" w14:textId="77777777" w:rsidR="00DC4616" w:rsidRDefault="00000000">
      <w:pPr>
        <w:spacing w:after="200" w:line="276" w:lineRule="auto"/>
      </w:pPr>
      <w:r>
        <w:t>An honest accounting of failures is essential to the scientific value of this work. The iterative development process encountered several fundamental technical failures, each of which forced an architectural pivot and contributed to the understanding that informed the final design. We present these failures in detail because the failure mechanisms are as instructive as the successes, and because researchers adopting AI-augmented development will encounter the same categories of failure in their own domains.</w:t>
      </w:r>
    </w:p>
    <w:p w14:paraId="5B4AF3A7" w14:textId="77777777" w:rsidR="00DC4616" w:rsidRDefault="00000000">
      <w:pPr>
        <w:pStyle w:val="Heading2"/>
      </w:pPr>
      <w:r>
        <w:t>6.1 Failure: Reduced-Order Pinch Model</w:t>
      </w:r>
    </w:p>
    <w:p w14:paraId="65724759" w14:textId="77777777" w:rsidR="00DC4616" w:rsidRDefault="00000000">
      <w:pPr>
        <w:spacing w:after="200" w:line="276" w:lineRule="auto"/>
      </w:pPr>
      <w:r>
        <w:t>Pressure-balance pinch models, including the Bennett equilibrium formulation used in the Lee model’s Phase 5, assume that the pinch column reaches and maintains a quasi-static equilibrium between magnetic pressure and plasma kinetic pressure. Real DPF pinches are dominated by magnetohydrodynamic instabilities — the m=0 sausage mode with a characteristic e-folding time of tens of nanoseconds, the m=1 kink mode that disrupts the column laterally, and filamentation that breaks the assumed azimuthal symmetry entirely. These instabilities destroy the equilibrium conditions on which the reduced-order model depends. The result was that temperature predictions from the pinch phase were systematically unreliable, and the sensitivity of neutron yield to pinch temperature (through the Bosch-Hale reactivity’s exponential dependence on temperature) meant that yield predictions could be wrong by orders of magnitude.</w:t>
      </w:r>
    </w:p>
    <w:p w14:paraId="6C2820EF" w14:textId="77777777" w:rsidR="00DC4616" w:rsidRDefault="00000000">
      <w:pPr>
        <w:spacing w:after="200" w:line="276" w:lineRule="auto"/>
      </w:pPr>
      <w:r>
        <w:t>This failure was not a bug; it was a fundamental limitation of the model class. The AI-augmented development process contributed to discovering this limitation faster than manual development would have, because the AI could rapidly survey the instability growth rate literature, compute characteristic times, and compare them to the pinch lifetime — arriving at the conclusion that instabilities grow faster than the pinch equilibrium can establish. A human researcher would reach the same conclusion through literature review, but the AI compressed weeks of reading into a single chain-of-thought analysis session.</w:t>
      </w:r>
    </w:p>
    <w:p w14:paraId="5A84577A" w14:textId="77777777" w:rsidR="00DC4616" w:rsidRDefault="00000000">
      <w:pPr>
        <w:spacing w:after="200" w:line="276" w:lineRule="auto"/>
      </w:pPr>
      <w:r>
        <w:t xml:space="preserve">The resolution was not to fix the reduced-order pinch model but to supplement it with spatially resolved MHD that could capture instability dynamics, leading directly to the multi-fidelity architecture. The reduced-order model was retained as the Lee model backend because it remains correct for the axial rundown phase and provides useful </w:t>
      </w:r>
      <w:proofErr w:type="gramStart"/>
      <w:r>
        <w:t>first-order</w:t>
      </w:r>
      <w:proofErr w:type="gramEnd"/>
      <w:r>
        <w:t xml:space="preserve"> estimates even in the pinch phase; it was supplemented, not replaced.</w:t>
      </w:r>
    </w:p>
    <w:p w14:paraId="221CB751" w14:textId="77777777" w:rsidR="00DC4616" w:rsidRDefault="00000000">
      <w:pPr>
        <w:pStyle w:val="Heading2"/>
      </w:pPr>
      <w:r>
        <w:t>6.2 Failure: Maxwellian Fusion Assumption</w:t>
      </w:r>
    </w:p>
    <w:p w14:paraId="42B169A7" w14:textId="77777777" w:rsidR="00DC4616" w:rsidRDefault="00000000">
      <w:pPr>
        <w:spacing w:after="200" w:line="276" w:lineRule="auto"/>
      </w:pPr>
      <w:r>
        <w:t>The initial thermonuclear yield calculation assumed a Maxwellian ion energy distribution, using the Bosch-Hale reactivity parameterization that is valid for thermal plasmas. However, DPF experiments consistently show that the dominant neutron production mechanism is beam-target fusion, not thermonuclear fusion. Ion beams accelerated by electric fields in the post-pinch disruption phase interact with a dense background plasma target, producing neutron yields that exceed the thermonuclear prediction by factors of 10–100 (Haines et al., 2011). Double layers and non-thermal distributions are ubiquitous in the post-pinch plasma. The assumption of thermal equilibrium, while standard in many fusion simulations, is particularly inappropriate for DPF conditions.</w:t>
      </w:r>
    </w:p>
    <w:p w14:paraId="2B2F1398" w14:textId="77777777" w:rsidR="00DC4616" w:rsidRDefault="00000000">
      <w:pPr>
        <w:spacing w:after="200" w:line="276" w:lineRule="auto"/>
      </w:pPr>
      <w:r>
        <w:t xml:space="preserve">This failure is particularly instructive for AI-augmented development because the AI’s initial implementation was textbook-correct: the Bosch-Hale parameterization is the standard reference for D-D fusion </w:t>
      </w:r>
      <w:proofErr w:type="gramStart"/>
      <w:r>
        <w:t>reactivity, and</w:t>
      </w:r>
      <w:proofErr w:type="gramEnd"/>
      <w:r>
        <w:t xml:space="preserve"> using it for neutron yield calculations is exactly what a textbook on fusion reactions would describe. The error was not in the implementation but in the physical appropriateness of the model for DPF conditions. The AI, working from its training data, defaulted to the </w:t>
      </w:r>
      <w:proofErr w:type="gramStart"/>
      <w:r>
        <w:t>most commonly implemented</w:t>
      </w:r>
      <w:proofErr w:type="gramEnd"/>
      <w:r>
        <w:t xml:space="preserve"> approach rather than the approach most appropriate for the specific physical regime. Only when the developer explicitly </w:t>
      </w:r>
      <w:proofErr w:type="gramStart"/>
      <w:r>
        <w:t>asked</w:t>
      </w:r>
      <w:proofErr w:type="gramEnd"/>
      <w:r>
        <w:t xml:space="preserve"> “is thermonuclear fusion the dominant mechanism in DPF?” did the AI’s literature synthesis capability produce the correct answer: no, beam-target fusion dominates. This asymmetry — the AI can answer the question correctly when asked but does not spontaneously ask the question — is a fundamental characteristic of current LLM technology.</w:t>
      </w:r>
    </w:p>
    <w:p w14:paraId="480F8596" w14:textId="77777777" w:rsidR="00DC4616" w:rsidRDefault="00000000">
      <w:pPr>
        <w:spacing w:after="200" w:line="276" w:lineRule="auto"/>
      </w:pPr>
      <w:r>
        <w:t>The resolution was to implement both thermonuclear and beam-target neutron yield models, with the beam-target contribution dominating at DPF-relevant conditions. This dual-mechanism approach was enabled by the reasoning capabilities of the second-epoch models (Section 3.2), which could cross-reference plasma physics and beam physics literature to identify the appropriate model.</w:t>
      </w:r>
    </w:p>
    <w:p w14:paraId="16849D64" w14:textId="77777777" w:rsidR="00DC4616" w:rsidRDefault="00000000">
      <w:pPr>
        <w:pStyle w:val="Heading2"/>
      </w:pPr>
      <w:r>
        <w:t>6.3 Failure: Plasma Turbulence</w:t>
      </w:r>
    </w:p>
    <w:p w14:paraId="7896CD42" w14:textId="77777777" w:rsidR="00DC4616" w:rsidRDefault="00000000">
      <w:pPr>
        <w:spacing w:after="200" w:line="276" w:lineRule="auto"/>
      </w:pPr>
      <w:r>
        <w:t>DPF plasma in the post-pinch phase is fully turbulent. Reduced-order models assume smooth, laminar plasma behavior with well-defined bulk quantities (density, temperature, velocity). The actual plasma exhibits anomalous resistivity exceeding classical Spitzer values by orders of magnitude, turbulent magnetic field fluctuations, and a cascade of energy from large-scale instabilities to small-scale dissipation. This mismatch between the assumed smooth behavior and the actual turbulent state undermines quantitative predictions from any model that does not resolve the turbulent spectrum.</w:t>
      </w:r>
    </w:p>
    <w:p w14:paraId="4C4D4534" w14:textId="77777777" w:rsidR="00DC4616" w:rsidRDefault="00000000">
      <w:pPr>
        <w:spacing w:after="200" w:line="276" w:lineRule="auto"/>
      </w:pPr>
      <w:r>
        <w:t xml:space="preserve">Three anomalous resistivity models were implemented to partially address this limitation — lower-hybrid drift instability, </w:t>
      </w:r>
      <w:proofErr w:type="spellStart"/>
      <w:r>
        <w:t>Buneman</w:t>
      </w:r>
      <w:proofErr w:type="spellEnd"/>
      <w:r>
        <w:t xml:space="preserve"> instability, and ion-acoustic instability thresholds — but these are sub-grid models that parameterize rather than resolve the turbulence. Each model activates when the electron drift velocity exceeds a physics-based threshold and enhances the effective resistivity above the classical Spitzer value. The thresholds and enhancement factors were sourced from the reference database, ensuring consistency with published values. However, the choice of which anomalous resistivity model to use </w:t>
      </w:r>
      <w:proofErr w:type="gramStart"/>
      <w:r>
        <w:t>in a given</w:t>
      </w:r>
      <w:proofErr w:type="gramEnd"/>
      <w:r>
        <w:t xml:space="preserve"> simulation remains a matter of physical judgment that the AI cannot make autonomously. The developer must decide, based on the expected plasma conditions, whether LHDI or </w:t>
      </w:r>
      <w:proofErr w:type="spellStart"/>
      <w:r>
        <w:t>Buneman</w:t>
      </w:r>
      <w:proofErr w:type="spellEnd"/>
      <w:r>
        <w:t>-dominated resistivity is more appropriate for a specific simulation. Full resolution of DPF turbulence would require kinetic simulation at computational costs exceeding the scope of a consumer-hardware project.</w:t>
      </w:r>
    </w:p>
    <w:p w14:paraId="4B64A8D7" w14:textId="77777777" w:rsidR="00DC4616" w:rsidRDefault="00000000">
      <w:pPr>
        <w:pStyle w:val="Heading2"/>
      </w:pPr>
      <w:r>
        <w:t>6.4 Failure: HPC Data Scale</w:t>
      </w:r>
    </w:p>
    <w:p w14:paraId="6FAE2ED9" w14:textId="77777777" w:rsidR="00DC4616" w:rsidRDefault="00000000">
      <w:pPr>
        <w:spacing w:after="200" w:line="276" w:lineRule="auto"/>
      </w:pPr>
      <w:r>
        <w:t xml:space="preserve">The Epoch III architecture pivot toward </w:t>
      </w:r>
      <w:proofErr w:type="spellStart"/>
      <w:r>
        <w:t>WarpX</w:t>
      </w:r>
      <w:proofErr w:type="spellEnd"/>
      <w:r>
        <w:t xml:space="preserve"> particle-in-cell simulation was physically well-motivated but computationally impractical. PIC simulations of DPF conditions require 10⁸ to 10¹⁰ particles, 10⁷ to 10⁹ grid cells, and 100 to 1,000 CPU cores. A single high-fidelity simulation produces 100 GB to 1 TB of output data. Visualization tools cannot process raw outputs at this scale, necessitating an entire data reduction pipeline (spatial </w:t>
      </w:r>
      <w:proofErr w:type="spellStart"/>
      <w:r>
        <w:t>downsampling</w:t>
      </w:r>
      <w:proofErr w:type="spellEnd"/>
      <w:r>
        <w:t>, particle subsampling, field interpolation, temporal compression) before results could be rendered interactively. The architecture was correct but required infrastructure that did not exist for this project.</w:t>
      </w:r>
    </w:p>
    <w:p w14:paraId="08482682" w14:textId="77777777" w:rsidR="00DC4616" w:rsidRDefault="00000000">
      <w:pPr>
        <w:spacing w:after="200" w:line="276" w:lineRule="auto"/>
      </w:pPr>
      <w:r>
        <w:t xml:space="preserve">The data scale problem reveals a gap in the AI-augmented development methodology: the AI could design the data pipeline architecture in detail (reduction stages, compression ratios, visualization formats) without recognizing that the prerequisite infrastructure did not exist. The AI’s training data contains abundant examples of HPC pipeline architectures, and it generated a technically sophisticated design document complete with </w:t>
      </w:r>
      <w:proofErr w:type="spellStart"/>
      <w:r>
        <w:t>AMReX</w:t>
      </w:r>
      <w:proofErr w:type="spellEnd"/>
      <w:r>
        <w:t xml:space="preserve"> output parsing, spatial decimation algorithms, and Unity VTK ingestion — none of which could be tested without access to an HPC cluster. The lesson is that AI excels at designing systems within the space of architectures represented in its training </w:t>
      </w:r>
      <w:proofErr w:type="gramStart"/>
      <w:r>
        <w:t>data, but</w:t>
      </w:r>
      <w:proofErr w:type="gramEnd"/>
      <w:r>
        <w:t xml:space="preserve"> cannot assess the practical feasibility of a design against the constraints of a specific project’s available resources.</w:t>
      </w:r>
    </w:p>
    <w:p w14:paraId="52F9FD73" w14:textId="77777777" w:rsidR="00DC4616" w:rsidRDefault="00000000">
      <w:pPr>
        <w:spacing w:after="200" w:line="276" w:lineRule="auto"/>
      </w:pPr>
      <w:r>
        <w:t xml:space="preserve">The resolution was the multi-fidelity compromise embodied in the final architecture: use MHD (not PIC) at the highest fidelity level, accepting the loss of kinetic physics in exchange for simulations that complete in minutes rather than days and produce megabytes of output rather than terabytes. The </w:t>
      </w:r>
      <w:proofErr w:type="spellStart"/>
      <w:r>
        <w:t>WarpX</w:t>
      </w:r>
      <w:proofErr w:type="spellEnd"/>
      <w:r>
        <w:t xml:space="preserve"> integration remains as a future path for when HPC access becomes available.</w:t>
      </w:r>
    </w:p>
    <w:p w14:paraId="5B7D15C5" w14:textId="77777777" w:rsidR="00DC4616" w:rsidRDefault="00000000">
      <w:pPr>
        <w:pStyle w:val="Heading2"/>
      </w:pPr>
      <w:r>
        <w:t>6.5 Failure: One-Way Circuit-MHD Coupling</w:t>
      </w:r>
    </w:p>
    <w:p w14:paraId="68B8FD1B" w14:textId="77777777" w:rsidR="00DC4616" w:rsidRDefault="00000000">
      <w:pPr>
        <w:spacing w:after="200" w:line="276" w:lineRule="auto"/>
      </w:pPr>
      <w:r>
        <w:t>The most instructive failure was the one-way coupling between the circuit solver and the MHD solver, discovered during the AI-simulated PhD committee review. The AI had correctly implemented both the circuit solver and the MHD solver independently. Each module passed all unit tests. But the interface between them carried information in only one direction: circuit current drove MHD boundary conditions, but the changing plasma inductance did not feed back into the circuit equation. The simulated current waveform showed a “current dip” during radial implosion, but this dip came from the Lee model’s phase transition logic rather than from the physically correct mechanism of increasing plasma inductance drawing energy from the capacitor bank.</w:t>
      </w:r>
    </w:p>
    <w:p w14:paraId="1BD2ED25" w14:textId="77777777" w:rsidR="00DC4616" w:rsidRDefault="00000000">
      <w:pPr>
        <w:spacing w:after="200" w:line="276" w:lineRule="auto"/>
      </w:pPr>
      <w:r>
        <w:t>This failure illustrates a fundamental vulnerability of AI-augmented development: the AI can implement each component correctly while failing to implement the coupling between components correctly. Unit tests validate components; integration tests are needed to validate couplings, and integration tests require understanding the physics well enough to know what the correct coupled behavior should be. The fix — computing plasma inductance from the MHD density field and feeding it back as a back-EMF term — required physical reasoning about what the circuit “should feel” as the plasma implodes.</w:t>
      </w:r>
    </w:p>
    <w:p w14:paraId="05E07358" w14:textId="77777777" w:rsidR="00DC4616" w:rsidRDefault="00000000">
      <w:pPr>
        <w:spacing w:after="200" w:line="276" w:lineRule="auto"/>
      </w:pPr>
      <w:r>
        <w:t>From the perspective of AI architecture theory, this failure is explained by the autoregressive compounding error mechanism described in Section 10.2.2. The AI generated the circuit solver in one session, the MHD solver in a later session, and the coupling code in a third session. By the time the coupling code was written, the detailed physical reasoning about mutual inductance that informed the circuit solver’s design had long since fallen out of context. The coupling code was generated based on a high-level description of the interface (“pass current from circuit to MHD”) rather than a physics-grounded specification (“the circuit must feel the back-EMF generated by the changing plasma inductance”). The fix was discovered not by the AI but by the AI-simulated PhD committee, which asked the physically penetrating question: “Is the current dip caused by the correct physical mechanism?” This is precisely the kind of question that requires domain expertise to formulate.</w:t>
      </w:r>
    </w:p>
    <w:p w14:paraId="0EB5B4B7" w14:textId="77777777" w:rsidR="00DC4616" w:rsidRDefault="00000000">
      <w:pPr>
        <w:pStyle w:val="Heading2"/>
      </w:pPr>
      <w:r>
        <w:t>6.6 Failure: Float32 Precision on GPU</w:t>
      </w:r>
    </w:p>
    <w:p w14:paraId="6BE2775E" w14:textId="77777777" w:rsidR="00DC4616" w:rsidRDefault="00000000">
      <w:pPr>
        <w:spacing w:after="200" w:line="276" w:lineRule="auto"/>
      </w:pPr>
      <w:r>
        <w:t xml:space="preserve">Apple Metal GPU hardware supports only float32 arithmetic. This created a precision limitation that manifested as subtle physics errors. Energy conservation, which should hold to machine epsilon in an ideal MHD solver, accumulated errors of approximately 10⁻⁷ relative per timestep in float32, growing to percent-level errors over thousands of timesteps in long simulations. The HLLD Riemann solver’s intermediate-state computation involved catastrophic cancellation in float32 that produced </w:t>
      </w:r>
      <w:proofErr w:type="spellStart"/>
      <w:r>
        <w:t>NaN</w:t>
      </w:r>
      <w:proofErr w:type="spellEnd"/>
      <w:r>
        <w:t xml:space="preserve"> values for certain magnetic field configurations (specifically, strong </w:t>
      </w:r>
      <w:proofErr w:type="gramStart"/>
      <w:r>
        <w:t>By</w:t>
      </w:r>
      <w:proofErr w:type="gramEnd"/>
      <w:r>
        <w:t xml:space="preserve"> discontinuities in the Brio-Wu test). These are not bugs in the algorithms but inherent limitations of float32 arithmetic applied to computations that require more than seven significant decimal digits.</w:t>
      </w:r>
    </w:p>
    <w:p w14:paraId="6A0A3566" w14:textId="77777777" w:rsidR="00DC4616" w:rsidRDefault="00000000">
      <w:pPr>
        <w:spacing w:after="200" w:line="276" w:lineRule="auto"/>
      </w:pPr>
      <w:r>
        <w:t xml:space="preserve">The resolution was a dual-precision architecture: the </w:t>
      </w:r>
      <w:proofErr w:type="spellStart"/>
      <w:r>
        <w:t>MetalMHDSolver</w:t>
      </w:r>
      <w:proofErr w:type="spellEnd"/>
      <w:r>
        <w:t xml:space="preserve"> accepts a precision flag that selects either MPS (Metal, float32) for fast GPU execution or CPU (float64) for maximum accuracy. The maximum-accuracy configuration forces CPU execution with float64, eliminating round-off accumulation at the cost of losing GPU acceleration. The AI-augmented development process contributed to discovering this limitation through automated testing: the test suite includes conservation-law checks that detected the float32 energy drift before it manifested in visually incorrect simulation results. Without automated testing, this drift would likely have gone unnoticed until a high-resolution, long-duration simulation produced obviously unphysical results.</w:t>
      </w:r>
    </w:p>
    <w:p w14:paraId="24AF8B9C" w14:textId="77777777" w:rsidR="00DC4616" w:rsidRDefault="00000000">
      <w:pPr>
        <w:pStyle w:val="Heading2"/>
      </w:pPr>
      <w:r>
        <w:t>6.7 Failure: Python Engine Hybrid WENO5 Boundary Inconsistency</w:t>
      </w:r>
    </w:p>
    <w:p w14:paraId="7D8B9551" w14:textId="77777777" w:rsidR="00DC4616" w:rsidRDefault="00000000">
      <w:pPr>
        <w:spacing w:after="200" w:line="276" w:lineRule="auto"/>
      </w:pPr>
      <w:r>
        <w:t xml:space="preserve">The Python MHD solver’s WENO5 reconstruction exhibited an inconsistency at domain boundaries that caused instability during sound wave propagation. The WENO5 flux divergence was applied only to interior cells (indices 2 through N−3, reflecting the five-point stencil width), while other terms in the MHD equations (induction, pressure gradient) used NumPy’s </w:t>
      </w:r>
      <w:proofErr w:type="spellStart"/>
      <w:proofErr w:type="gramStart"/>
      <w:r>
        <w:t>np.gradient</w:t>
      </w:r>
      <w:proofErr w:type="spellEnd"/>
      <w:proofErr w:type="gramEnd"/>
      <w:r>
        <w:t xml:space="preserve"> function across all cells including boundaries. This mismatch meant that boundary cells received updates from some physics terms but not others, creating an imbalance that grew over time and eventually caused the simulation to diverge.</w:t>
      </w:r>
    </w:p>
    <w:p w14:paraId="6EEC46B9" w14:textId="77777777" w:rsidR="00DC4616" w:rsidRDefault="00000000">
      <w:pPr>
        <w:spacing w:after="200" w:line="276" w:lineRule="auto"/>
      </w:pPr>
      <w:r>
        <w:t>This failure is significant because it was invisible to component-level testing. The WENO5 reconstruction passed all stencil accuracy tests in isolation. The pressure gradient computation was correct in isolation. The failure only appeared when both were active simultaneously on the same grid with boundary conditions. The resolution was to route users requiring WENO5 accuracy to the Metal engine, which has a fully conservative formulation that applies WENO5 consistently across all terms and all cells. The Python engine’s WENO5 mode was documented as unstable for multi-step time integration, with a recommendation to use the Metal engine or fall back to the Python engine’s standard gradient-based scheme.</w:t>
      </w:r>
    </w:p>
    <w:p w14:paraId="7962229C" w14:textId="77777777" w:rsidR="00DC4616" w:rsidRDefault="00000000">
      <w:r>
        <w:br w:type="page"/>
      </w:r>
    </w:p>
    <w:p w14:paraId="44D6C12B" w14:textId="77777777" w:rsidR="00DC4616" w:rsidRDefault="00000000">
      <w:pPr>
        <w:pStyle w:val="Heading1"/>
      </w:pPr>
      <w:r>
        <w:t>7. Technically Sound Architectural Decisions</w:t>
      </w:r>
    </w:p>
    <w:p w14:paraId="7DBD6A41" w14:textId="77777777" w:rsidR="00DC4616" w:rsidRDefault="00000000">
      <w:pPr>
        <w:spacing w:after="200" w:line="276" w:lineRule="auto"/>
      </w:pPr>
      <w:r>
        <w:t>Despite the failures documented in Section 6, several architectural decisions made throughout the iterative development proved to be technically correct and survived into the final system. Identifying what was correct is as important as analyzing failures, because it validates the portions of the AI-augmented development process that produced sound engineering judgments.</w:t>
      </w:r>
    </w:p>
    <w:p w14:paraId="66A2456F" w14:textId="77777777" w:rsidR="00DC4616" w:rsidRDefault="00000000">
      <w:pPr>
        <w:pStyle w:val="Heading2"/>
      </w:pPr>
      <w:r>
        <w:t>7.1 Hybrid Simulation Approach</w:t>
      </w:r>
    </w:p>
    <w:p w14:paraId="7A4E9CE5" w14:textId="77777777" w:rsidR="00DC4616" w:rsidRDefault="00000000">
      <w:pPr>
        <w:spacing w:after="200" w:line="276" w:lineRule="auto"/>
      </w:pPr>
      <w:r>
        <w:t xml:space="preserve">Using both reduced-order models and higher-fidelity spatial simulation is standard practice in plasma research. The multi-fidelity hierarchy — from sub-second Lee model for parameter exploration to minute-scale MHD for detailed analysis — mirrors how experimental groups </w:t>
      </w:r>
      <w:proofErr w:type="gramStart"/>
      <w:r>
        <w:t>actually use</w:t>
      </w:r>
      <w:proofErr w:type="gramEnd"/>
      <w:r>
        <w:t xml:space="preserve"> simulation: fast models for design space exploration, detailed models for the most promising configurations. This decision, present from the earliest architecture, was validated by the final system’s utility.</w:t>
      </w:r>
    </w:p>
    <w:p w14:paraId="34E5FAC6" w14:textId="77777777" w:rsidR="00DC4616" w:rsidRDefault="00000000">
      <w:pPr>
        <w:spacing w:after="200" w:line="276" w:lineRule="auto"/>
      </w:pPr>
      <w:r>
        <w:t>The AI contributed to this decision by synthesizing examples from the broader computational physics literature where multi-fidelity approaches have proven effective: climate modeling (reduced-order atmosphere coupled to full-resolution ocean), structural engineering (beam models for design, finite element for verification), and aerodynamics (panel methods for preliminary design, CFD for final analysis). This cross-domain pattern recognition — identifying that DPF simulation should follow the same multi-fidelity paradigm that succeeds in other fields — is precisely the kind of knowledge synthesis where AI excels.</w:t>
      </w:r>
    </w:p>
    <w:p w14:paraId="75D241E3" w14:textId="77777777" w:rsidR="00DC4616" w:rsidRDefault="00000000">
      <w:pPr>
        <w:pStyle w:val="Heading2"/>
      </w:pPr>
      <w:r>
        <w:t xml:space="preserve">7.2 </w:t>
      </w:r>
      <w:proofErr w:type="spellStart"/>
      <w:r>
        <w:t>WarpX</w:t>
      </w:r>
      <w:proofErr w:type="spellEnd"/>
      <w:r>
        <w:t xml:space="preserve"> and </w:t>
      </w:r>
      <w:proofErr w:type="spellStart"/>
      <w:r>
        <w:t>AMReX</w:t>
      </w:r>
      <w:proofErr w:type="spellEnd"/>
      <w:r>
        <w:t xml:space="preserve"> Selection</w:t>
      </w:r>
    </w:p>
    <w:p w14:paraId="1E369801" w14:textId="77777777" w:rsidR="00DC4616" w:rsidRDefault="00000000">
      <w:pPr>
        <w:spacing w:after="200" w:line="276" w:lineRule="auto"/>
      </w:pPr>
      <w:r>
        <w:t xml:space="preserve">Although the HPC PIC architecture was impractical for this project, the selection of </w:t>
      </w:r>
      <w:proofErr w:type="spellStart"/>
      <w:r>
        <w:t>WarpX</w:t>
      </w:r>
      <w:proofErr w:type="spellEnd"/>
      <w:r>
        <w:t xml:space="preserve"> as the particle-in-cell engine and </w:t>
      </w:r>
      <w:proofErr w:type="spellStart"/>
      <w:r>
        <w:t>AMReX</w:t>
      </w:r>
      <w:proofErr w:type="spellEnd"/>
      <w:r>
        <w:t xml:space="preserve"> as the adaptive mesh refinement framework was technically correct. </w:t>
      </w:r>
      <w:proofErr w:type="spellStart"/>
      <w:r>
        <w:t>WarpX</w:t>
      </w:r>
      <w:proofErr w:type="spellEnd"/>
      <w:r>
        <w:t xml:space="preserve"> is among the most advanced open PIC codes available, with GPU acceleration, electromagnetic and electrostatic solvers, and active development by the plasma physics community at Lawrence Berkeley National Laboratory. </w:t>
      </w:r>
      <w:proofErr w:type="spellStart"/>
      <w:r>
        <w:t>AMReX</w:t>
      </w:r>
      <w:proofErr w:type="spellEnd"/>
      <w:r>
        <w:t xml:space="preserve"> provides dynamic resolution increases around the pinch region, which is essential for DPF simulation where the spatial scales range from centimeters (electrode gap) to micrometers (pinch column). These tools would be the correct choices for a future HPC implementation, and the AI’s selection was informed by a systematic comparison of available PIC codes (OSIRIS, EPOCH, VPIC, </w:t>
      </w:r>
      <w:proofErr w:type="spellStart"/>
      <w:r>
        <w:t>WarpX</w:t>
      </w:r>
      <w:proofErr w:type="spellEnd"/>
      <w:r>
        <w:t>) against DPF-specific requirements: electromagnetic capability, cylindrical geometry support, adaptive mesh refinement, and open-source licensing.</w:t>
      </w:r>
    </w:p>
    <w:p w14:paraId="2F721F7A" w14:textId="77777777" w:rsidR="00DC4616" w:rsidRDefault="00000000">
      <w:pPr>
        <w:pStyle w:val="Heading2"/>
      </w:pPr>
      <w:r>
        <w:t>7.3 Athena++ as Reference MHD Backend</w:t>
      </w:r>
    </w:p>
    <w:p w14:paraId="482E5F3D" w14:textId="77777777" w:rsidR="00DC4616" w:rsidRDefault="00000000">
      <w:pPr>
        <w:spacing w:after="200" w:line="276" w:lineRule="auto"/>
      </w:pPr>
      <w:r>
        <w:t>The integration of Athena++ (Stone et al., 2020) as a reference MHD backend provided an independent verification pathway for the custom Metal MHD solver. When the Metal solver and Athena++ agree on a test problem, confidence in both implementations is high. When they disagree, the discrepancy pinpoints the issue. This cross-backend validation strategy was instrumental in identifying reconstruction and Riemann solver bugs in the Metal implementation.</w:t>
      </w:r>
    </w:p>
    <w:p w14:paraId="360891C9" w14:textId="77777777" w:rsidR="00DC4616" w:rsidRDefault="00000000">
      <w:pPr>
        <w:spacing w:after="200" w:line="276" w:lineRule="auto"/>
      </w:pPr>
      <w:r>
        <w:t>The decision to use Athena++ specifically, rather than another MHD code, was driven by three factors. First, Athena++ is a modern C++ code with pybind11 support, enabling in-process integration rather than subprocess communication. Second, its methods paper (Stone et al., 2020) is published in a peer-reviewed journal with complete algorithmic descriptions, providing a definitive reference for expected behavior on standard test problems. Third, Athena++ supports the same reconstruction and Riemann solver options (PLM, PPM, HLL, HLLD) as the Metal solver, enabling apples-to-apples comparison at each algorithmic level. This decision was validated in practice: the cross-backend Sod shock tube comparison (L1 density error below 15 percent between Metal and Athena++) confirmed that both implementations were correct to within the expected difference attributable to different reconstruction orders.</w:t>
      </w:r>
    </w:p>
    <w:p w14:paraId="01CD91B5" w14:textId="77777777" w:rsidR="00DC4616" w:rsidRDefault="00000000">
      <w:pPr>
        <w:spacing w:after="200" w:line="276" w:lineRule="auto"/>
      </w:pPr>
      <w:r>
        <w:t>The integration also revealed practical lessons about C++ global state. Athena++ registers signal handlers and allocates global variables during initialization that cannot be cleaned up, preventing re-initialization in the same process. This forced a singleton pattern for the Athena++ backend and module-scoped test fixtures, a design constraint that the AI discovered through runtime errors rather than documentation — a reminder that practical software integration involves undocumented behaviors that no amount of paper-reading can anticipate.</w:t>
      </w:r>
    </w:p>
    <w:p w14:paraId="465B7D62" w14:textId="77777777" w:rsidR="00DC4616" w:rsidRDefault="00000000">
      <w:pPr>
        <w:pStyle w:val="Heading2"/>
      </w:pPr>
      <w:r>
        <w:t>7.4 Interactive Visualization Layer</w:t>
      </w:r>
    </w:p>
    <w:p w14:paraId="3EE5EE06" w14:textId="77777777" w:rsidR="00DC4616" w:rsidRDefault="00000000">
      <w:pPr>
        <w:spacing w:after="200" w:line="276" w:lineRule="auto"/>
      </w:pPr>
      <w:r>
        <w:t xml:space="preserve">The decision to include an interactive visualization layer was correct from the first architecture through the last. DPF simulation results are inherently spatial and temporal; tables of numbers cannot convey the physics of sheath acceleration, radial implosion, and pinch disruption as effectively as animated visualizations. The original vision used Unity for 3D rendering, which was technically appropriate but required the massive data reduction pipeline described in Section 6.4. The final implementation uses a </w:t>
      </w:r>
      <w:proofErr w:type="spellStart"/>
      <w:r>
        <w:t>Gradio</w:t>
      </w:r>
      <w:proofErr w:type="spellEnd"/>
      <w:r>
        <w:t>-based web interface running on localhost, providing 2D waveform charts with phase-colored background bands and annotations (peak current, current dip depth, crowbar firing, phase boundaries), 3D animated playback showing density and pressure cross-sections evolving through the discharge, parameter sweep visualization with overlaid published Lee model parameters, and experimental CSV upload with NRMSE residual analysis.</w:t>
      </w:r>
    </w:p>
    <w:p w14:paraId="15E9295C" w14:textId="77777777" w:rsidR="00DC4616" w:rsidRDefault="00000000">
      <w:pPr>
        <w:spacing w:after="200" w:line="276" w:lineRule="auto"/>
      </w:pPr>
      <w:r>
        <w:t xml:space="preserve">The pivot from Unity to </w:t>
      </w:r>
      <w:proofErr w:type="spellStart"/>
      <w:r>
        <w:t>Gradio</w:t>
      </w:r>
      <w:proofErr w:type="spellEnd"/>
      <w:r>
        <w:t xml:space="preserve"> deserves specific commentary because it illustrates a general principle of AI-augmented development. The Unity visualization was the “correct” answer in the sense that it would produce the most impressive interactive experience. The </w:t>
      </w:r>
      <w:proofErr w:type="spellStart"/>
      <w:r>
        <w:t>Gradio</w:t>
      </w:r>
      <w:proofErr w:type="spellEnd"/>
      <w:r>
        <w:t xml:space="preserve"> interface was the “practical” answer in the sense that it could be built in days rather than months and integrated directly with the Python simulation codebase. The AI, when asked to compare the two approaches, produced an accurate assessment of the tradeoffs but could not make the judgment call that “shipping a working </w:t>
      </w:r>
      <w:proofErr w:type="spellStart"/>
      <w:r>
        <w:t>Gradio</w:t>
      </w:r>
      <w:proofErr w:type="spellEnd"/>
      <w:r>
        <w:t xml:space="preserve"> interface this week is more valuable than designing a perfect Unity interface that will take six months.” That judgment required the human developer’s understanding of the project’s realistic timeline and goals.</w:t>
      </w:r>
    </w:p>
    <w:p w14:paraId="2CE46559" w14:textId="77777777" w:rsidR="00DC4616" w:rsidRDefault="00000000">
      <w:pPr>
        <w:pStyle w:val="Heading2"/>
      </w:pPr>
      <w:r>
        <w:t>7.5 Educational Accessibility</w:t>
      </w:r>
    </w:p>
    <w:p w14:paraId="5110C047" w14:textId="77777777" w:rsidR="00DC4616" w:rsidRDefault="00000000">
      <w:pPr>
        <w:spacing w:after="200" w:line="276" w:lineRule="auto"/>
      </w:pPr>
      <w:r>
        <w:t>The decision to generate automatically an educational physics narrative alongside simulation results — present from the earliest design discussions — proved to be one of the most impactful features. The 20,000-character, 13-section narrative teaches DPF physics from first principles using computed values from the actual simulation, not generic textbook examples. User acceptance testing by a senior electrical engineer with DPF experimental experience confirmed that this narrative made the simulation accessible to users who had no prior background in computational plasma physics.</w:t>
      </w:r>
    </w:p>
    <w:p w14:paraId="0AAD3F6F" w14:textId="77777777" w:rsidR="00DC4616" w:rsidRDefault="00000000">
      <w:pPr>
        <w:spacing w:after="200" w:line="276" w:lineRule="auto"/>
      </w:pPr>
      <w:r>
        <w:t>The narrative generation was one of the few tasks where the AI’s capabilities were perfectly matched to the requirements. The AI could ingest the complete physics model, read the simulation output values, and generate prose explanations at an appropriate technical level with correctly cited sources and physically meaningful analogies. The “magnetic cannon” analogy for the DPF and the “camera flash” analogy for the capacitor bank emerged from the AI’s synthesis of pedagogical writing patterns, and both were judged effective by the user acceptance tester. This is AI at its best: synthesizing existing knowledge (physics, pedagogy, technical writing) into a novel artifact (a physics narrative) that is grounded in specific data (the simulation output) and accessible to a defined audience (students without computational plasma physics background).</w:t>
      </w:r>
    </w:p>
    <w:p w14:paraId="33673E6C" w14:textId="77777777" w:rsidR="00DC4616" w:rsidRDefault="00000000">
      <w:pPr>
        <w:pStyle w:val="Heading2"/>
      </w:pPr>
      <w:r>
        <w:t>7.6 The Test Infrastructure</w:t>
      </w:r>
    </w:p>
    <w:p w14:paraId="1AD27873" w14:textId="77777777" w:rsidR="00DC4616" w:rsidRDefault="00000000">
      <w:pPr>
        <w:spacing w:after="200" w:line="276" w:lineRule="auto"/>
      </w:pPr>
      <w:r>
        <w:t>The project’s test infrastructure grew to 1,475 tests across 16 phases, organized by physics module and development phase. This infrastructure was both a product of and a safeguard for AI-augmented development. The AI’s autonomous development capability (Section 3.4) meant that new code could be written and committed without human review of every line. The test suite served as the primary quality gate: if the tests passed, the code was likely correct; if they failed, the AI would fix the failure before proceeding. The CI gate requiring at least 745 passing tests ensured that no development sprint could degrade the existing functionality.</w:t>
      </w:r>
    </w:p>
    <w:p w14:paraId="176384A2" w14:textId="77777777" w:rsidR="00DC4616" w:rsidRDefault="00000000">
      <w:pPr>
        <w:spacing w:after="200" w:line="276" w:lineRule="auto"/>
      </w:pPr>
      <w:r>
        <w:t xml:space="preserve">The test infrastructure also served as documentation of expected behavior. Each test encodes a physical expectation: “the Sod shock tube must not produce </w:t>
      </w:r>
      <w:proofErr w:type="spellStart"/>
      <w:r>
        <w:t>NaN</w:t>
      </w:r>
      <w:proofErr w:type="spellEnd"/>
      <w:r>
        <w:t>,” “energy must be conserved to within 10⁻⁶ relative,” “the Lee model peak current for PF-1000 must be within 15 percent of 1.87 MA.” These expectations, sourced from the reference database, create an executable specification of the simulator’s required accuracy. When a new developer (human or AI) modifies the codebase, the test suite immediately validates whether the modification preserves the physics — a capability that is especially valuable when the developer is an AI that may not have been briefed on the physical significance of every tolerance.</w:t>
      </w:r>
    </w:p>
    <w:p w14:paraId="5FE3FECF" w14:textId="77777777" w:rsidR="00DC4616" w:rsidRDefault="00000000">
      <w:pPr>
        <w:pStyle w:val="Heading2"/>
      </w:pPr>
      <w:r>
        <w:t>7.7 Project Complexity Growth: A Quantitative View</w:t>
      </w:r>
    </w:p>
    <w:p w14:paraId="48B341BC" w14:textId="77777777" w:rsidR="00DC4616" w:rsidRDefault="00000000">
      <w:pPr>
        <w:spacing w:after="200" w:line="276" w:lineRule="auto"/>
      </w:pPr>
      <w:r>
        <w:t>The growth of project complexity over the fourteen-month development period provides a quantitative measure of the AI-augmented methodology’s throughput and the accelerating pace of development as the tooling matured. The following table presents the cumulative state of the codebase at the end of each major development phase.</w:t>
      </w:r>
    </w:p>
    <w:tbl>
      <w:tblPr>
        <w:tblW w:w="89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200"/>
        <w:gridCol w:w="1200"/>
        <w:gridCol w:w="1200"/>
        <w:gridCol w:w="1200"/>
        <w:gridCol w:w="1160"/>
      </w:tblGrid>
      <w:tr w:rsidR="00DC4616" w14:paraId="5E0C23A6"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tcPr>
          <w:p w14:paraId="1FEDB0C6" w14:textId="77777777" w:rsidR="00DC4616" w:rsidRDefault="00000000">
            <w:r>
              <w:rPr>
                <w:b/>
                <w:bCs/>
                <w:sz w:val="22"/>
                <w:szCs w:val="22"/>
              </w:rPr>
              <w:t>Phase / Period</w:t>
            </w:r>
          </w:p>
        </w:tc>
        <w:tc>
          <w:tcPr>
            <w:tcW w:w="12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tcPr>
          <w:p w14:paraId="7CA36FD9" w14:textId="77777777" w:rsidR="00DC4616" w:rsidRDefault="00000000">
            <w:r>
              <w:rPr>
                <w:b/>
                <w:bCs/>
                <w:sz w:val="22"/>
                <w:szCs w:val="22"/>
              </w:rPr>
              <w:t>LOC</w:t>
            </w:r>
          </w:p>
        </w:tc>
        <w:tc>
          <w:tcPr>
            <w:tcW w:w="12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tcPr>
          <w:p w14:paraId="2506C275" w14:textId="77777777" w:rsidR="00DC4616" w:rsidRDefault="00000000">
            <w:r>
              <w:rPr>
                <w:b/>
                <w:bCs/>
                <w:sz w:val="22"/>
                <w:szCs w:val="22"/>
              </w:rPr>
              <w:t>Tests</w:t>
            </w:r>
          </w:p>
        </w:tc>
        <w:tc>
          <w:tcPr>
            <w:tcW w:w="12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tcPr>
          <w:p w14:paraId="0F5EC844" w14:textId="77777777" w:rsidR="00DC4616" w:rsidRDefault="00000000">
            <w:r>
              <w:rPr>
                <w:b/>
                <w:bCs/>
                <w:sz w:val="22"/>
                <w:szCs w:val="22"/>
              </w:rPr>
              <w:t>Modules</w:t>
            </w:r>
          </w:p>
        </w:tc>
        <w:tc>
          <w:tcPr>
            <w:tcW w:w="12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tcPr>
          <w:p w14:paraId="4235904D" w14:textId="77777777" w:rsidR="00DC4616" w:rsidRDefault="00000000">
            <w:r>
              <w:rPr>
                <w:b/>
                <w:bCs/>
                <w:sz w:val="22"/>
                <w:szCs w:val="22"/>
              </w:rPr>
              <w:t>Backends</w:t>
            </w:r>
          </w:p>
        </w:tc>
        <w:tc>
          <w:tcPr>
            <w:tcW w:w="12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tcPr>
          <w:p w14:paraId="1BEDAB46" w14:textId="77777777" w:rsidR="00DC4616" w:rsidRDefault="00000000">
            <w:r>
              <w:rPr>
                <w:b/>
                <w:bCs/>
                <w:sz w:val="22"/>
                <w:szCs w:val="22"/>
              </w:rPr>
              <w:t>Presets</w:t>
            </w:r>
          </w:p>
        </w:tc>
        <w:tc>
          <w:tcPr>
            <w:tcW w:w="116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tcPr>
          <w:p w14:paraId="07D052FB" w14:textId="77777777" w:rsidR="00DC4616" w:rsidRDefault="00000000">
            <w:r>
              <w:rPr>
                <w:b/>
                <w:bCs/>
                <w:sz w:val="22"/>
                <w:szCs w:val="22"/>
              </w:rPr>
              <w:t>Duration</w:t>
            </w:r>
          </w:p>
        </w:tc>
      </w:tr>
      <w:tr w:rsidR="00DC4616" w14:paraId="7172D872"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C0878D" w14:textId="77777777" w:rsidR="00DC4616" w:rsidRDefault="00000000">
            <w:r>
              <w:rPr>
                <w:sz w:val="22"/>
                <w:szCs w:val="22"/>
              </w:rPr>
              <w:t>Epoch I (Jan–Apr 2025)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1CE371" w14:textId="77777777" w:rsidR="00DC4616" w:rsidRDefault="00000000">
            <w:r>
              <w:rPr>
                <w:sz w:val="22"/>
                <w:szCs w:val="22"/>
              </w:rPr>
              <w:t>~800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4E613C" w14:textId="77777777" w:rsidR="00DC4616" w:rsidRDefault="00000000">
            <w:r>
              <w:rPr>
                <w:sz w:val="22"/>
                <w:szCs w:val="22"/>
              </w:rPr>
              <w:t>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F505F3" w14:textId="77777777" w:rsidR="00DC4616" w:rsidRDefault="00000000">
            <w:r>
              <w:rPr>
                <w:sz w:val="22"/>
                <w:szCs w:val="22"/>
              </w:rPr>
              <w:t>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F21C3C" w14:textId="77777777" w:rsidR="00DC4616" w:rsidRDefault="00000000">
            <w:r>
              <w:rPr>
                <w:sz w:val="22"/>
                <w:szCs w:val="22"/>
              </w:rPr>
              <w:t>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320548" w14:textId="77777777" w:rsidR="00DC4616" w:rsidRDefault="00000000">
            <w:r>
              <w:rPr>
                <w:sz w:val="22"/>
                <w:szCs w:val="22"/>
              </w:rPr>
              <w:t>1</w:t>
            </w:r>
          </w:p>
        </w:tc>
        <w:tc>
          <w:tcPr>
            <w:tcW w:w="1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01930A" w14:textId="77777777" w:rsidR="00DC4616" w:rsidRDefault="00000000">
            <w:r>
              <w:rPr>
                <w:sz w:val="22"/>
                <w:szCs w:val="22"/>
              </w:rPr>
              <w:t>4 months</w:t>
            </w:r>
          </w:p>
        </w:tc>
      </w:tr>
      <w:tr w:rsidR="00DC4616" w14:paraId="1ECC27D4"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68A3E" w14:textId="77777777" w:rsidR="00DC4616" w:rsidRDefault="00000000">
            <w:r>
              <w:rPr>
                <w:sz w:val="22"/>
                <w:szCs w:val="22"/>
              </w:rPr>
              <w:t>Epoch II (May–Sep 2025)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525DE3" w14:textId="77777777" w:rsidR="00DC4616" w:rsidRDefault="00000000">
            <w:r>
              <w:rPr>
                <w:sz w:val="22"/>
                <w:szCs w:val="22"/>
              </w:rPr>
              <w:t>~2,500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E8C6DA" w14:textId="77777777" w:rsidR="00DC4616" w:rsidRDefault="00000000">
            <w:r>
              <w:rPr>
                <w:sz w:val="22"/>
                <w:szCs w:val="22"/>
              </w:rPr>
              <w:t>~30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21568F" w14:textId="77777777" w:rsidR="00DC4616" w:rsidRDefault="00000000">
            <w:r>
              <w:rPr>
                <w:sz w:val="22"/>
                <w:szCs w:val="22"/>
              </w:rPr>
              <w:t>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02A316" w14:textId="77777777" w:rsidR="00DC4616" w:rsidRDefault="00000000">
            <w:r>
              <w:rPr>
                <w:sz w:val="22"/>
                <w:szCs w:val="22"/>
              </w:rPr>
              <w:t>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37557D" w14:textId="77777777" w:rsidR="00DC4616" w:rsidRDefault="00000000">
            <w:r>
              <w:rPr>
                <w:sz w:val="22"/>
                <w:szCs w:val="22"/>
              </w:rPr>
              <w:t>3</w:t>
            </w:r>
          </w:p>
        </w:tc>
        <w:tc>
          <w:tcPr>
            <w:tcW w:w="1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D775BB" w14:textId="77777777" w:rsidR="00DC4616" w:rsidRDefault="00000000">
            <w:r>
              <w:rPr>
                <w:sz w:val="22"/>
                <w:szCs w:val="22"/>
              </w:rPr>
              <w:t>5 months</w:t>
            </w:r>
          </w:p>
        </w:tc>
      </w:tr>
      <w:tr w:rsidR="00DC4616" w14:paraId="2328EA05"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20BFE5" w14:textId="77777777" w:rsidR="00DC4616" w:rsidRDefault="00000000">
            <w:r>
              <w:rPr>
                <w:sz w:val="22"/>
                <w:szCs w:val="22"/>
              </w:rPr>
              <w:t>Epoch III (Oct–Dec 2025)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6E7070" w14:textId="77777777" w:rsidR="00DC4616" w:rsidRDefault="00000000">
            <w:r>
              <w:rPr>
                <w:sz w:val="22"/>
                <w:szCs w:val="22"/>
              </w:rPr>
              <w:t>~4,000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DC2DA9" w14:textId="77777777" w:rsidR="00DC4616" w:rsidRDefault="00000000">
            <w:r>
              <w:rPr>
                <w:sz w:val="22"/>
                <w:szCs w:val="22"/>
              </w:rPr>
              <w:t>~80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D09658" w14:textId="77777777" w:rsidR="00DC4616" w:rsidRDefault="00000000">
            <w:r>
              <w:rPr>
                <w:sz w:val="22"/>
                <w:szCs w:val="22"/>
              </w:rPr>
              <w:t>12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2481AB" w14:textId="77777777" w:rsidR="00DC4616" w:rsidRDefault="00000000">
            <w:r>
              <w:rPr>
                <w:sz w:val="22"/>
                <w:szCs w:val="22"/>
              </w:rPr>
              <w:t>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8F2C79" w14:textId="77777777" w:rsidR="00DC4616" w:rsidRDefault="00000000">
            <w:r>
              <w:rPr>
                <w:sz w:val="22"/>
                <w:szCs w:val="22"/>
              </w:rPr>
              <w:t>5</w:t>
            </w:r>
          </w:p>
        </w:tc>
        <w:tc>
          <w:tcPr>
            <w:tcW w:w="1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AA165F" w14:textId="77777777" w:rsidR="00DC4616" w:rsidRDefault="00000000">
            <w:r>
              <w:rPr>
                <w:sz w:val="22"/>
                <w:szCs w:val="22"/>
              </w:rPr>
              <w:t>3 months</w:t>
            </w:r>
          </w:p>
        </w:tc>
      </w:tr>
      <w:tr w:rsidR="00DC4616" w14:paraId="684F5540"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A67B6F" w14:textId="77777777" w:rsidR="00DC4616" w:rsidRDefault="00000000">
            <w:r>
              <w:rPr>
                <w:sz w:val="22"/>
                <w:szCs w:val="22"/>
              </w:rPr>
              <w:t>Phase A–C (Jan 2026)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DA4550" w14:textId="77777777" w:rsidR="00DC4616" w:rsidRDefault="00000000">
            <w:r>
              <w:rPr>
                <w:sz w:val="22"/>
                <w:szCs w:val="22"/>
              </w:rPr>
              <w:t>~8,000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A1EECB" w14:textId="77777777" w:rsidR="00DC4616" w:rsidRDefault="00000000">
            <w:r>
              <w:rPr>
                <w:sz w:val="22"/>
                <w:szCs w:val="22"/>
              </w:rPr>
              <w:t>~200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52CEB1" w14:textId="77777777" w:rsidR="00DC4616" w:rsidRDefault="00000000">
            <w:r>
              <w:rPr>
                <w:sz w:val="22"/>
                <w:szCs w:val="22"/>
              </w:rPr>
              <w:t>18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D03A2F" w14:textId="77777777" w:rsidR="00DC4616" w:rsidRDefault="00000000">
            <w:r>
              <w:rPr>
                <w:sz w:val="22"/>
                <w:szCs w:val="22"/>
              </w:rPr>
              <w:t>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550DC5" w14:textId="77777777" w:rsidR="00DC4616" w:rsidRDefault="00000000">
            <w:r>
              <w:rPr>
                <w:sz w:val="22"/>
                <w:szCs w:val="22"/>
              </w:rPr>
              <w:t>8</w:t>
            </w:r>
          </w:p>
        </w:tc>
        <w:tc>
          <w:tcPr>
            <w:tcW w:w="1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FDF93C" w14:textId="77777777" w:rsidR="00DC4616" w:rsidRDefault="00000000">
            <w:r>
              <w:rPr>
                <w:sz w:val="22"/>
                <w:szCs w:val="22"/>
              </w:rPr>
              <w:t>4 weeks</w:t>
            </w:r>
          </w:p>
        </w:tc>
      </w:tr>
      <w:tr w:rsidR="00DC4616" w14:paraId="43F9B9B0"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866C04" w14:textId="77777777" w:rsidR="00DC4616" w:rsidRDefault="00000000">
            <w:r>
              <w:rPr>
                <w:sz w:val="22"/>
                <w:szCs w:val="22"/>
              </w:rPr>
              <w:t>Phase D–F (Feb 2026)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EAA148" w14:textId="77777777" w:rsidR="00DC4616" w:rsidRDefault="00000000">
            <w:r>
              <w:rPr>
                <w:sz w:val="22"/>
                <w:szCs w:val="22"/>
              </w:rPr>
              <w:t>~15,000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3A1A1B" w14:textId="77777777" w:rsidR="00DC4616" w:rsidRDefault="00000000">
            <w:r>
              <w:rPr>
                <w:sz w:val="22"/>
                <w:szCs w:val="22"/>
              </w:rPr>
              <w:t>~500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083435" w14:textId="77777777" w:rsidR="00DC4616" w:rsidRDefault="00000000">
            <w:r>
              <w:rPr>
                <w:sz w:val="22"/>
                <w:szCs w:val="22"/>
              </w:rPr>
              <w:t>28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C7AA26" w14:textId="77777777" w:rsidR="00DC4616" w:rsidRDefault="00000000">
            <w:r>
              <w:rPr>
                <w:sz w:val="22"/>
                <w:szCs w:val="22"/>
              </w:rPr>
              <w:t>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D745ED" w14:textId="77777777" w:rsidR="00DC4616" w:rsidRDefault="00000000">
            <w:r>
              <w:rPr>
                <w:sz w:val="22"/>
                <w:szCs w:val="22"/>
              </w:rPr>
              <w:t>10</w:t>
            </w:r>
          </w:p>
        </w:tc>
        <w:tc>
          <w:tcPr>
            <w:tcW w:w="1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A271F0" w14:textId="77777777" w:rsidR="00DC4616" w:rsidRDefault="00000000">
            <w:r>
              <w:rPr>
                <w:sz w:val="22"/>
                <w:szCs w:val="22"/>
              </w:rPr>
              <w:t>4 weeks</w:t>
            </w:r>
          </w:p>
        </w:tc>
      </w:tr>
      <w:tr w:rsidR="00DC4616" w14:paraId="62F4F2E1"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5562F0" w14:textId="77777777" w:rsidR="00DC4616" w:rsidRDefault="00000000">
            <w:r>
              <w:rPr>
                <w:sz w:val="22"/>
                <w:szCs w:val="22"/>
              </w:rPr>
              <w:t>Phase G–I (Feb–Mar 2026)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C16E67" w14:textId="77777777" w:rsidR="00DC4616" w:rsidRDefault="00000000">
            <w:r>
              <w:rPr>
                <w:sz w:val="22"/>
                <w:szCs w:val="22"/>
              </w:rPr>
              <w:t>~22,000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B51764" w14:textId="77777777" w:rsidR="00DC4616" w:rsidRDefault="00000000">
            <w:r>
              <w:rPr>
                <w:sz w:val="22"/>
                <w:szCs w:val="22"/>
              </w:rPr>
              <w:t>~900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4F5D74" w14:textId="77777777" w:rsidR="00DC4616" w:rsidRDefault="00000000">
            <w:r>
              <w:rPr>
                <w:sz w:val="22"/>
                <w:szCs w:val="22"/>
              </w:rPr>
              <w:t>38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C0E3DC" w14:textId="77777777" w:rsidR="00DC4616" w:rsidRDefault="00000000">
            <w:r>
              <w:rPr>
                <w:sz w:val="22"/>
                <w:szCs w:val="22"/>
              </w:rPr>
              <w:t>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F25C05" w14:textId="77777777" w:rsidR="00DC4616" w:rsidRDefault="00000000">
            <w:r>
              <w:rPr>
                <w:sz w:val="22"/>
                <w:szCs w:val="22"/>
              </w:rPr>
              <w:t>12</w:t>
            </w:r>
          </w:p>
        </w:tc>
        <w:tc>
          <w:tcPr>
            <w:tcW w:w="1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C0F146" w14:textId="77777777" w:rsidR="00DC4616" w:rsidRDefault="00000000">
            <w:r>
              <w:rPr>
                <w:sz w:val="22"/>
                <w:szCs w:val="22"/>
              </w:rPr>
              <w:t>3 weeks</w:t>
            </w:r>
          </w:p>
        </w:tc>
      </w:tr>
      <w:tr w:rsidR="00DC4616" w14:paraId="1A55BDF8"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168384" w14:textId="77777777" w:rsidR="00DC4616" w:rsidRDefault="00000000">
            <w:r>
              <w:rPr>
                <w:sz w:val="22"/>
                <w:szCs w:val="22"/>
              </w:rPr>
              <w:t>Phase J–P (Mar 2026)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C060BA" w14:textId="77777777" w:rsidR="00DC4616" w:rsidRDefault="00000000">
            <w:r>
              <w:rPr>
                <w:sz w:val="22"/>
                <w:szCs w:val="22"/>
              </w:rPr>
              <w:t>~30,000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4BB07C" w14:textId="77777777" w:rsidR="00DC4616" w:rsidRDefault="00000000">
            <w:r>
              <w:rPr>
                <w:sz w:val="22"/>
                <w:szCs w:val="22"/>
              </w:rPr>
              <w:t>1,475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BE7B10" w14:textId="77777777" w:rsidR="00DC4616" w:rsidRDefault="00000000">
            <w:r>
              <w:rPr>
                <w:sz w:val="22"/>
                <w:szCs w:val="22"/>
              </w:rPr>
              <w:t>48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83CB96" w14:textId="77777777" w:rsidR="00DC4616" w:rsidRDefault="00000000">
            <w:r>
              <w:rPr>
                <w:sz w:val="22"/>
                <w:szCs w:val="22"/>
              </w:rPr>
              <w:t>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260ADE" w14:textId="77777777" w:rsidR="00DC4616" w:rsidRDefault="00000000">
            <w:r>
              <w:rPr>
                <w:sz w:val="22"/>
                <w:szCs w:val="22"/>
              </w:rPr>
              <w:t>12</w:t>
            </w:r>
          </w:p>
        </w:tc>
        <w:tc>
          <w:tcPr>
            <w:tcW w:w="1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7BA42A" w14:textId="77777777" w:rsidR="00DC4616" w:rsidRDefault="00000000">
            <w:r>
              <w:rPr>
                <w:sz w:val="22"/>
                <w:szCs w:val="22"/>
              </w:rPr>
              <w:t>2 weeks</w:t>
            </w:r>
          </w:p>
        </w:tc>
      </w:tr>
    </w:tbl>
    <w:p w14:paraId="66659D58" w14:textId="77777777" w:rsidR="00DC4616" w:rsidRDefault="00000000">
      <w:pPr>
        <w:spacing w:after="200" w:line="276" w:lineRule="auto"/>
      </w:pPr>
      <w:r>
        <w:rPr>
          <w:i/>
          <w:iCs/>
        </w:rPr>
        <w:t>Table 3. Cumulative project complexity at the end of each development phase.</w:t>
      </w:r>
    </w:p>
    <w:p w14:paraId="63523965" w14:textId="77777777" w:rsidR="00DC4616" w:rsidRDefault="00000000">
      <w:pPr>
        <w:spacing w:after="200" w:line="276" w:lineRule="auto"/>
      </w:pPr>
      <w:r>
        <w:t>Several patterns are visible in this data. First, the development velocity increased dramatically with each improvement in tooling: the final two weeks of Epoch IV produced more code, tests, and modules than the entire nine months of Epochs I and II combined. Second, the test-to-code ratio improved steadily, from zero tests per line of code in Epoch I to approximately one test per twenty lines by Phase P, reflecting the shift from manual “hope it works” development to automated “verify it works” development. Third, the rate of backend integration accelerated: the first backend (Lee model) took nine months to bring to a functional state, while the last two backends (</w:t>
      </w:r>
      <w:proofErr w:type="spellStart"/>
      <w:r>
        <w:t>AthenaK</w:t>
      </w:r>
      <w:proofErr w:type="spellEnd"/>
      <w:r>
        <w:t xml:space="preserve"> subprocess integration and Metal 3D) were each integrated in under one week.</w:t>
      </w:r>
    </w:p>
    <w:p w14:paraId="6470BE44" w14:textId="77777777" w:rsidR="00DC4616" w:rsidRDefault="00000000">
      <w:pPr>
        <w:spacing w:after="200" w:line="276" w:lineRule="auto"/>
      </w:pPr>
      <w:r>
        <w:t xml:space="preserve">The acceleration is attributable not only to improved AI tooling but to the accumulating infrastructure: by Phase J, the project had a mature test framework, a verified reference database, validated device presets, and documented coding conventions. Each new feature benefited from this infrastructure in ways that the first features could not. The AI’s persistent memory ensured that lessons learned in early phases (such as the Athena++ global state issue, or the float32 HLLD </w:t>
      </w:r>
      <w:proofErr w:type="spellStart"/>
      <w:r>
        <w:t>NaN</w:t>
      </w:r>
      <w:proofErr w:type="spellEnd"/>
      <w:r>
        <w:t xml:space="preserve"> problem) were immediately available when analogous issues arose in later phases. This compounding effect — where each phase’s infrastructure reduces the cost of subsequent phases — is the most powerful argument for the AI-augmented development methodology: it does not merely accelerate individual tasks but creates an accelerating development trajectory.</w:t>
      </w:r>
    </w:p>
    <w:p w14:paraId="54402A17" w14:textId="77777777" w:rsidR="00DC4616" w:rsidRDefault="00000000">
      <w:r>
        <w:br w:type="page"/>
      </w:r>
    </w:p>
    <w:p w14:paraId="3C9BAA11" w14:textId="77777777" w:rsidR="00DC4616" w:rsidRDefault="00000000">
      <w:pPr>
        <w:pStyle w:val="Heading1"/>
      </w:pPr>
      <w:r>
        <w:t>8. Systematic Address of the Fifteen DPF Simulation Challenges</w:t>
      </w:r>
    </w:p>
    <w:p w14:paraId="3AD835BA" w14:textId="77777777" w:rsidR="00DC4616" w:rsidRDefault="00000000">
      <w:pPr>
        <w:spacing w:after="200" w:line="276" w:lineRule="auto"/>
      </w:pPr>
      <w:r>
        <w:t xml:space="preserve">DPF-Unified addresses all fifteen DPF simulation challenges identified in the literature, with initial implementations completed across thirty-three commits comprising approximately 2,000 lines of code and 100 tests. A complete treatment of each challenge implementation is provided in the companion paper (Zamora, 2026). The following summarizes the approach and </w:t>
      </w:r>
      <w:proofErr w:type="gramStart"/>
      <w:r>
        <w:t>current status</w:t>
      </w:r>
      <w:proofErr w:type="gramEnd"/>
      <w:r>
        <w:t xml:space="preserve"> for each.</w:t>
      </w:r>
    </w:p>
    <w:p w14:paraId="1391FB76" w14:textId="77777777" w:rsidR="00DC4616" w:rsidRDefault="00DC4616">
      <w:pPr>
        <w:spacing w:before="200"/>
      </w:pPr>
    </w:p>
    <w:tbl>
      <w:tblPr>
        <w:tblW w:w="89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300"/>
        <w:gridCol w:w="5760"/>
      </w:tblGrid>
      <w:tr w:rsidR="00DC4616" w14:paraId="0CADC497"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tcPr>
          <w:p w14:paraId="62689E01" w14:textId="77777777" w:rsidR="00DC4616" w:rsidRDefault="00000000">
            <w:r>
              <w:rPr>
                <w:b/>
                <w:bCs/>
                <w:sz w:val="22"/>
                <w:szCs w:val="22"/>
              </w:rPr>
              <w:t>#</w:t>
            </w:r>
          </w:p>
        </w:tc>
        <w:tc>
          <w:tcPr>
            <w:tcW w:w="23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tcPr>
          <w:p w14:paraId="628278C8" w14:textId="77777777" w:rsidR="00DC4616" w:rsidRDefault="00000000">
            <w:r>
              <w:rPr>
                <w:b/>
                <w:bCs/>
                <w:sz w:val="22"/>
                <w:szCs w:val="22"/>
              </w:rPr>
              <w:t>Challenge</w:t>
            </w:r>
          </w:p>
        </w:tc>
        <w:tc>
          <w:tcPr>
            <w:tcW w:w="576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tcPr>
          <w:p w14:paraId="42608A7D" w14:textId="77777777" w:rsidR="00DC4616" w:rsidRDefault="00000000">
            <w:r>
              <w:rPr>
                <w:b/>
                <w:bCs/>
                <w:sz w:val="22"/>
                <w:szCs w:val="22"/>
              </w:rPr>
              <w:t>Implementation Approach</w:t>
            </w:r>
          </w:p>
        </w:tc>
      </w:tr>
      <w:tr w:rsidR="00DC4616" w14:paraId="02B7752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5B8CE8" w14:textId="77777777" w:rsidR="00DC4616" w:rsidRDefault="00000000">
            <w:r>
              <w:rPr>
                <w:sz w:val="22"/>
                <w:szCs w:val="22"/>
              </w:rPr>
              <w:t>1</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394EAA" w14:textId="77777777" w:rsidR="00DC4616" w:rsidRDefault="00000000">
            <w:r>
              <w:rPr>
                <w:sz w:val="22"/>
                <w:szCs w:val="22"/>
              </w:rPr>
              <w:t>Kinetic Effects</w:t>
            </w:r>
          </w:p>
        </w:tc>
        <w:tc>
          <w:tcPr>
            <w:tcW w:w="5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8B93F2" w14:textId="77777777" w:rsidR="00DC4616" w:rsidRDefault="00000000">
            <w:r>
              <w:rPr>
                <w:sz w:val="22"/>
                <w:szCs w:val="22"/>
              </w:rPr>
              <w:t xml:space="preserve">PIC module with Boris pushing, CIC deposition, </w:t>
            </w:r>
            <w:proofErr w:type="spellStart"/>
            <w:r>
              <w:rPr>
                <w:sz w:val="22"/>
                <w:szCs w:val="22"/>
              </w:rPr>
              <w:t>Takizuka</w:t>
            </w:r>
            <w:proofErr w:type="spellEnd"/>
            <w:r>
              <w:rPr>
                <w:sz w:val="22"/>
                <w:szCs w:val="22"/>
              </w:rPr>
              <w:t>-Abe collisions</w:t>
            </w:r>
          </w:p>
        </w:tc>
      </w:tr>
      <w:tr w:rsidR="00DC4616" w14:paraId="5CA2F73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155CC0" w14:textId="77777777" w:rsidR="00DC4616" w:rsidRDefault="00000000">
            <w:r>
              <w:rPr>
                <w:sz w:val="22"/>
                <w:szCs w:val="22"/>
              </w:rPr>
              <w:t>2</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940735" w14:textId="77777777" w:rsidR="00DC4616" w:rsidRDefault="00000000">
            <w:r>
              <w:rPr>
                <w:sz w:val="22"/>
                <w:szCs w:val="22"/>
              </w:rPr>
              <w:t>MHD Instabilities</w:t>
            </w:r>
          </w:p>
        </w:tc>
        <w:tc>
          <w:tcPr>
            <w:tcW w:w="5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E5600F" w14:textId="77777777" w:rsidR="00DC4616" w:rsidRDefault="00000000">
            <w:r>
              <w:rPr>
                <w:sz w:val="22"/>
                <w:szCs w:val="22"/>
              </w:rPr>
              <w:t xml:space="preserve">Sausage seeding, three anomalous resistivity models, </w:t>
            </w:r>
            <w:proofErr w:type="spellStart"/>
            <w:r>
              <w:rPr>
                <w:sz w:val="22"/>
                <w:szCs w:val="22"/>
              </w:rPr>
              <w:t>Goyon</w:t>
            </w:r>
            <w:proofErr w:type="spellEnd"/>
            <w:r>
              <w:rPr>
                <w:sz w:val="22"/>
                <w:szCs w:val="22"/>
              </w:rPr>
              <w:t xml:space="preserve"> timing diagnostic</w:t>
            </w:r>
          </w:p>
        </w:tc>
      </w:tr>
      <w:tr w:rsidR="00DC4616" w14:paraId="5859EBA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F1E12C" w14:textId="77777777" w:rsidR="00DC4616" w:rsidRDefault="00000000">
            <w:r>
              <w:rPr>
                <w:sz w:val="22"/>
                <w:szCs w:val="22"/>
              </w:rPr>
              <w:t>3</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585509" w14:textId="77777777" w:rsidR="00DC4616" w:rsidRDefault="00000000">
            <w:r>
              <w:rPr>
                <w:sz w:val="22"/>
                <w:szCs w:val="22"/>
              </w:rPr>
              <w:t>Radiation-Coupled MHD</w:t>
            </w:r>
          </w:p>
        </w:tc>
        <w:tc>
          <w:tcPr>
            <w:tcW w:w="5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C32472" w14:textId="77777777" w:rsidR="00DC4616" w:rsidRDefault="00000000">
            <w:r>
              <w:rPr>
                <w:sz w:val="22"/>
                <w:szCs w:val="22"/>
              </w:rPr>
              <w:t>Bremsstrahlung and line radiation sinks, flux-limited diffusion transport</w:t>
            </w:r>
          </w:p>
        </w:tc>
      </w:tr>
      <w:tr w:rsidR="00DC4616" w14:paraId="71D71C87"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B22F07" w14:textId="77777777" w:rsidR="00DC4616" w:rsidRDefault="00000000">
            <w:r>
              <w:rPr>
                <w:sz w:val="22"/>
                <w:szCs w:val="22"/>
              </w:rPr>
              <w:t>4</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C2CC5A" w14:textId="77777777" w:rsidR="00DC4616" w:rsidRDefault="00000000">
            <w:r>
              <w:rPr>
                <w:sz w:val="22"/>
                <w:szCs w:val="22"/>
              </w:rPr>
              <w:t>Neutron Production</w:t>
            </w:r>
          </w:p>
        </w:tc>
        <w:tc>
          <w:tcPr>
            <w:tcW w:w="5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266400" w14:textId="77777777" w:rsidR="00DC4616" w:rsidRDefault="00000000">
            <w:r>
              <w:rPr>
                <w:sz w:val="22"/>
                <w:szCs w:val="22"/>
              </w:rPr>
              <w:t>Bosch-Hale thermonuclear + Haines beam-target, dual mechanism</w:t>
            </w:r>
          </w:p>
        </w:tc>
      </w:tr>
      <w:tr w:rsidR="00DC4616" w14:paraId="65F64FE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6E60A6" w14:textId="77777777" w:rsidR="00DC4616" w:rsidRDefault="00000000">
            <w:r>
              <w:rPr>
                <w:sz w:val="22"/>
                <w:szCs w:val="22"/>
              </w:rPr>
              <w:t>5</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7EB903" w14:textId="77777777" w:rsidR="00DC4616" w:rsidRDefault="00000000">
            <w:r>
              <w:rPr>
                <w:sz w:val="22"/>
                <w:szCs w:val="22"/>
              </w:rPr>
              <w:t>Anomalous Resistivity</w:t>
            </w:r>
          </w:p>
        </w:tc>
        <w:tc>
          <w:tcPr>
            <w:tcW w:w="5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8C99D6" w14:textId="77777777" w:rsidR="00DC4616" w:rsidRDefault="00000000">
            <w:r>
              <w:rPr>
                <w:sz w:val="22"/>
                <w:szCs w:val="22"/>
              </w:rPr>
              <w:t xml:space="preserve">LHDI, </w:t>
            </w:r>
            <w:proofErr w:type="spellStart"/>
            <w:r>
              <w:rPr>
                <w:sz w:val="22"/>
                <w:szCs w:val="22"/>
              </w:rPr>
              <w:t>Buneman</w:t>
            </w:r>
            <w:proofErr w:type="spellEnd"/>
            <w:r>
              <w:rPr>
                <w:sz w:val="22"/>
                <w:szCs w:val="22"/>
              </w:rPr>
              <w:t>, and ion-acoustic threshold models</w:t>
            </w:r>
          </w:p>
        </w:tc>
      </w:tr>
      <w:tr w:rsidR="00DC4616" w14:paraId="0D0C658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6339DD" w14:textId="77777777" w:rsidR="00DC4616" w:rsidRDefault="00000000">
            <w:r>
              <w:rPr>
                <w:sz w:val="22"/>
                <w:szCs w:val="22"/>
              </w:rPr>
              <w:t>6</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AFA5EF" w14:textId="77777777" w:rsidR="00DC4616" w:rsidRDefault="00000000">
            <w:r>
              <w:rPr>
                <w:sz w:val="22"/>
                <w:szCs w:val="22"/>
              </w:rPr>
              <w:t>Sheath Physics</w:t>
            </w:r>
          </w:p>
        </w:tc>
        <w:tc>
          <w:tcPr>
            <w:tcW w:w="5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7D82B5" w14:textId="77777777" w:rsidR="00DC4616" w:rsidRDefault="00000000">
            <w:r>
              <w:rPr>
                <w:sz w:val="22"/>
                <w:szCs w:val="22"/>
              </w:rPr>
              <w:t xml:space="preserve">Bohm diffusion boundary, material ablation, mass shedding via </w:t>
            </w:r>
            <w:proofErr w:type="spellStart"/>
            <w:r>
              <w:rPr>
                <w:sz w:val="22"/>
                <w:szCs w:val="22"/>
              </w:rPr>
              <w:t>fm</w:t>
            </w:r>
            <w:proofErr w:type="spellEnd"/>
            <w:r>
              <w:rPr>
                <w:sz w:val="22"/>
                <w:szCs w:val="22"/>
              </w:rPr>
              <w:t xml:space="preserve"> &lt; 1</w:t>
            </w:r>
          </w:p>
        </w:tc>
      </w:tr>
      <w:tr w:rsidR="00DC4616" w14:paraId="70C931D1"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9E89D6" w14:textId="77777777" w:rsidR="00DC4616" w:rsidRDefault="00000000">
            <w:r>
              <w:rPr>
                <w:sz w:val="22"/>
                <w:szCs w:val="22"/>
              </w:rPr>
              <w:t>7</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1AA244" w14:textId="77777777" w:rsidR="00DC4616" w:rsidRDefault="00000000">
            <w:r>
              <w:rPr>
                <w:sz w:val="22"/>
                <w:szCs w:val="22"/>
              </w:rPr>
              <w:t>Magnetic Reconnection</w:t>
            </w:r>
          </w:p>
        </w:tc>
        <w:tc>
          <w:tcPr>
            <w:tcW w:w="5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D00E80" w14:textId="77777777" w:rsidR="00DC4616" w:rsidRDefault="00000000">
            <w:r>
              <w:rPr>
                <w:sz w:val="22"/>
                <w:szCs w:val="22"/>
              </w:rPr>
              <w:t>Tearing mode diagnostic, Hall MHD in WENO5 backend</w:t>
            </w:r>
          </w:p>
        </w:tc>
      </w:tr>
      <w:tr w:rsidR="00DC4616" w14:paraId="7978B08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891FA6" w14:textId="77777777" w:rsidR="00DC4616" w:rsidRDefault="00000000">
            <w:r>
              <w:rPr>
                <w:sz w:val="22"/>
                <w:szCs w:val="22"/>
              </w:rPr>
              <w:t>8</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9025C2" w14:textId="77777777" w:rsidR="00DC4616" w:rsidRDefault="00000000">
            <w:r>
              <w:rPr>
                <w:sz w:val="22"/>
                <w:szCs w:val="22"/>
              </w:rPr>
              <w:t>Filamentation</w:t>
            </w:r>
          </w:p>
        </w:tc>
        <w:tc>
          <w:tcPr>
            <w:tcW w:w="5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054019" w14:textId="77777777" w:rsidR="00DC4616" w:rsidRDefault="00000000">
            <w:r>
              <w:rPr>
                <w:sz w:val="22"/>
                <w:szCs w:val="22"/>
              </w:rPr>
              <w:t>3D Cartesian MHD backend resolving azimuthal structure</w:t>
            </w:r>
          </w:p>
        </w:tc>
      </w:tr>
      <w:tr w:rsidR="00DC4616" w14:paraId="1865516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194D1D" w14:textId="77777777" w:rsidR="00DC4616" w:rsidRDefault="00000000">
            <w:r>
              <w:rPr>
                <w:sz w:val="22"/>
                <w:szCs w:val="22"/>
              </w:rPr>
              <w:t>9</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B0272E" w14:textId="77777777" w:rsidR="00DC4616" w:rsidRDefault="00000000">
            <w:r>
              <w:rPr>
                <w:sz w:val="22"/>
                <w:szCs w:val="22"/>
              </w:rPr>
              <w:t>Shot Reproducibility</w:t>
            </w:r>
          </w:p>
        </w:tc>
        <w:tc>
          <w:tcPr>
            <w:tcW w:w="5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DBDACB" w14:textId="77777777" w:rsidR="00DC4616" w:rsidRDefault="00000000">
            <w:r>
              <w:rPr>
                <w:sz w:val="22"/>
                <w:szCs w:val="22"/>
              </w:rPr>
              <w:t>Stochastic initial conditions, ensemble runs with varied seeds</w:t>
            </w:r>
          </w:p>
        </w:tc>
      </w:tr>
      <w:tr w:rsidR="00DC4616" w14:paraId="779B52F9"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EF8920" w14:textId="77777777" w:rsidR="00DC4616" w:rsidRDefault="00000000">
            <w:r>
              <w:rPr>
                <w:sz w:val="22"/>
                <w:szCs w:val="22"/>
              </w:rPr>
              <w:t>10</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6C3B68" w14:textId="77777777" w:rsidR="00DC4616" w:rsidRDefault="00000000">
            <w:r>
              <w:rPr>
                <w:sz w:val="22"/>
                <w:szCs w:val="22"/>
              </w:rPr>
              <w:t>High Repetition Rate</w:t>
            </w:r>
          </w:p>
        </w:tc>
        <w:tc>
          <w:tcPr>
            <w:tcW w:w="5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2FFA20" w14:textId="77777777" w:rsidR="00DC4616" w:rsidRDefault="00000000">
            <w:proofErr w:type="spellStart"/>
            <w:r>
              <w:rPr>
                <w:sz w:val="22"/>
                <w:szCs w:val="22"/>
              </w:rPr>
              <w:t>MultiShotRunner</w:t>
            </w:r>
            <w:proofErr w:type="spellEnd"/>
            <w:r>
              <w:rPr>
                <w:sz w:val="22"/>
                <w:szCs w:val="22"/>
              </w:rPr>
              <w:t xml:space="preserve"> with inter-shot state carry-over and cooling</w:t>
            </w:r>
          </w:p>
        </w:tc>
      </w:tr>
      <w:tr w:rsidR="00DC4616" w14:paraId="77FE6D09"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CB00E3" w14:textId="77777777" w:rsidR="00DC4616" w:rsidRDefault="00000000">
            <w:r>
              <w:rPr>
                <w:sz w:val="22"/>
                <w:szCs w:val="22"/>
              </w:rPr>
              <w:t>11</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EDC3A1" w14:textId="77777777" w:rsidR="00DC4616" w:rsidRDefault="00000000">
            <w:r>
              <w:rPr>
                <w:sz w:val="22"/>
                <w:szCs w:val="22"/>
              </w:rPr>
              <w:t>p-B11 Fuel</w:t>
            </w:r>
          </w:p>
        </w:tc>
        <w:tc>
          <w:tcPr>
            <w:tcW w:w="5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76D60C" w14:textId="77777777" w:rsidR="00DC4616" w:rsidRDefault="00000000">
            <w:r>
              <w:rPr>
                <w:sz w:val="22"/>
                <w:szCs w:val="22"/>
              </w:rPr>
              <w:t>Nevins-Swain reactivity for proton-boron-11 aneutronic fusion</w:t>
            </w:r>
          </w:p>
        </w:tc>
      </w:tr>
      <w:tr w:rsidR="00DC4616" w14:paraId="675AC6D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A9FAF0" w14:textId="77777777" w:rsidR="00DC4616" w:rsidRDefault="00000000">
            <w:r>
              <w:rPr>
                <w:sz w:val="22"/>
                <w:szCs w:val="22"/>
              </w:rPr>
              <w:t>12</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0CAF03" w14:textId="77777777" w:rsidR="00DC4616" w:rsidRDefault="00000000">
            <w:r>
              <w:rPr>
                <w:sz w:val="22"/>
                <w:szCs w:val="22"/>
              </w:rPr>
              <w:t>Electrode Erosion</w:t>
            </w:r>
          </w:p>
        </w:tc>
        <w:tc>
          <w:tcPr>
            <w:tcW w:w="5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A30098" w14:textId="77777777" w:rsidR="00DC4616" w:rsidRDefault="00000000">
            <w:r>
              <w:rPr>
                <w:sz w:val="22"/>
                <w:szCs w:val="22"/>
              </w:rPr>
              <w:t>Material ablation mass source at boundaries, multi-shot degradation</w:t>
            </w:r>
          </w:p>
        </w:tc>
      </w:tr>
      <w:tr w:rsidR="00DC4616" w14:paraId="19732733"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8A4D05" w14:textId="77777777" w:rsidR="00DC4616" w:rsidRDefault="00000000">
            <w:r>
              <w:rPr>
                <w:sz w:val="22"/>
                <w:szCs w:val="22"/>
              </w:rPr>
              <w:t>13</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B96D6A" w14:textId="77777777" w:rsidR="00DC4616" w:rsidRDefault="00000000">
            <w:r>
              <w:rPr>
                <w:sz w:val="22"/>
                <w:szCs w:val="22"/>
              </w:rPr>
              <w:t>MJ Scaling</w:t>
            </w:r>
          </w:p>
        </w:tc>
        <w:tc>
          <w:tcPr>
            <w:tcW w:w="5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A768FB" w14:textId="77777777" w:rsidR="00DC4616" w:rsidRDefault="00000000">
            <w:r>
              <w:rPr>
                <w:sz w:val="22"/>
                <w:szCs w:val="22"/>
              </w:rPr>
              <w:t>Yield scaling law fitting across preset database, alpha = 2.96</w:t>
            </w:r>
          </w:p>
        </w:tc>
      </w:tr>
      <w:tr w:rsidR="00DC4616" w14:paraId="7DBD851F"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B383F9" w14:textId="77777777" w:rsidR="00DC4616" w:rsidRDefault="00000000">
            <w:r>
              <w:rPr>
                <w:sz w:val="22"/>
                <w:szCs w:val="22"/>
              </w:rPr>
              <w:t>14</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DAED5B" w14:textId="77777777" w:rsidR="00DC4616" w:rsidRDefault="00000000">
            <w:proofErr w:type="spellStart"/>
            <w:r>
              <w:rPr>
                <w:sz w:val="22"/>
                <w:szCs w:val="22"/>
              </w:rPr>
              <w:t>Plasmoid</w:t>
            </w:r>
            <w:proofErr w:type="spellEnd"/>
            <w:r>
              <w:rPr>
                <w:sz w:val="22"/>
                <w:szCs w:val="22"/>
              </w:rPr>
              <w:t xml:space="preserve"> Formation</w:t>
            </w:r>
          </w:p>
        </w:tc>
        <w:tc>
          <w:tcPr>
            <w:tcW w:w="5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D0864F" w14:textId="77777777" w:rsidR="00DC4616" w:rsidRDefault="00000000">
            <w:r>
              <w:rPr>
                <w:sz w:val="22"/>
                <w:szCs w:val="22"/>
              </w:rPr>
              <w:t>O-point and X-point topology detector in magnetic flux function</w:t>
            </w:r>
          </w:p>
        </w:tc>
      </w:tr>
      <w:tr w:rsidR="00DC4616" w14:paraId="430FB049"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A90333" w14:textId="77777777" w:rsidR="00DC4616" w:rsidRDefault="00000000">
            <w:r>
              <w:rPr>
                <w:sz w:val="22"/>
                <w:szCs w:val="22"/>
              </w:rPr>
              <w:t>15</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ECAEFD" w14:textId="77777777" w:rsidR="00DC4616" w:rsidRDefault="00000000">
            <w:r>
              <w:rPr>
                <w:sz w:val="22"/>
                <w:szCs w:val="22"/>
              </w:rPr>
              <w:t>Diagnostic Gap</w:t>
            </w:r>
          </w:p>
        </w:tc>
        <w:tc>
          <w:tcPr>
            <w:tcW w:w="5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021C97" w14:textId="77777777" w:rsidR="00DC4616" w:rsidRDefault="00000000">
            <w:r>
              <w:rPr>
                <w:sz w:val="22"/>
                <w:szCs w:val="22"/>
              </w:rPr>
              <w:t xml:space="preserve">Synthetic interferometry via Abel transform, ~6.6 </w:t>
            </w:r>
            <w:proofErr w:type="spellStart"/>
            <w:r>
              <w:rPr>
                <w:sz w:val="22"/>
                <w:szCs w:val="22"/>
              </w:rPr>
              <w:t>HeNe</w:t>
            </w:r>
            <w:proofErr w:type="spellEnd"/>
            <w:r>
              <w:rPr>
                <w:sz w:val="22"/>
                <w:szCs w:val="22"/>
              </w:rPr>
              <w:t xml:space="preserve"> fringes for PF-1000</w:t>
            </w:r>
          </w:p>
        </w:tc>
      </w:tr>
    </w:tbl>
    <w:p w14:paraId="4BEABBC8" w14:textId="77777777" w:rsidR="00DC4616" w:rsidRDefault="00000000">
      <w:pPr>
        <w:spacing w:after="200" w:line="276" w:lineRule="auto"/>
      </w:pPr>
      <w:r>
        <w:rPr>
          <w:i/>
          <w:iCs/>
        </w:rPr>
        <w:t>Table 1. Summary of fifteen DPF simulation challenges and their implementations in DPF-Unified.</w:t>
      </w:r>
    </w:p>
    <w:p w14:paraId="0732CAA4" w14:textId="77777777" w:rsidR="00DC4616" w:rsidRDefault="00000000">
      <w:r>
        <w:br w:type="page"/>
      </w:r>
    </w:p>
    <w:p w14:paraId="4294A708" w14:textId="77777777" w:rsidR="00DC4616" w:rsidRDefault="00000000">
      <w:pPr>
        <w:pStyle w:val="Heading1"/>
      </w:pPr>
      <w:r>
        <w:t>9. Validation Results</w:t>
      </w:r>
    </w:p>
    <w:p w14:paraId="5BD8B340" w14:textId="77777777" w:rsidR="00DC4616" w:rsidRDefault="00000000">
      <w:pPr>
        <w:pStyle w:val="Heading2"/>
      </w:pPr>
      <w:r>
        <w:t>9.1 Lee Model Validation</w:t>
      </w:r>
    </w:p>
    <w:p w14:paraId="236173D2" w14:textId="77777777" w:rsidR="00DC4616" w:rsidRDefault="00000000">
      <w:pPr>
        <w:spacing w:after="200" w:line="276" w:lineRule="auto"/>
      </w:pPr>
      <w:r>
        <w:t xml:space="preserve">The Lee model backend was validated against published PF-1000 experimental data. Simulated peak current was 1.70 MA against the experimental value of 1.87 MA, an error of negative 9.1 percent. Simulated time to peak was approximately 5.8 microseconds against the experimental 5.5 microseconds, an error of positive 5.5 percent. The current dip signature indicating radial implosion was present in both simulated and experimental waveforms. The 9 percent undershoot in peak current reflects the sensitivity of the Lee model to circuit parameters: the published Lee model fit for PF-1000 uses fc = 0.7 and </w:t>
      </w:r>
      <w:proofErr w:type="spellStart"/>
      <w:r>
        <w:t>fm</w:t>
      </w:r>
      <w:proofErr w:type="spellEnd"/>
      <w:r>
        <w:t xml:space="preserve"> = 0.08, which were calibrated against specific circuit values that differ slightly from the Scholz et al. (2006) circuit parameters used in the simulation.</w:t>
      </w:r>
    </w:p>
    <w:p w14:paraId="6CA50365" w14:textId="77777777" w:rsidR="00DC4616" w:rsidRDefault="00000000">
      <w:pPr>
        <w:pStyle w:val="Heading2"/>
      </w:pPr>
      <w:r>
        <w:t xml:space="preserve">9.2 Hybrid </w:t>
      </w:r>
      <w:proofErr w:type="spellStart"/>
      <w:r>
        <w:t>Lee+MHD</w:t>
      </w:r>
      <w:proofErr w:type="spellEnd"/>
      <w:r>
        <w:t xml:space="preserve"> Validation</w:t>
      </w:r>
    </w:p>
    <w:p w14:paraId="11803E2B" w14:textId="77777777" w:rsidR="00DC4616" w:rsidRDefault="00000000">
      <w:pPr>
        <w:spacing w:after="200" w:line="276" w:lineRule="auto"/>
      </w:pPr>
      <w:r>
        <w:t>The hybrid backend coupling Lee axial phase to Metal MHD radial phase produced a peak current of 2.6 MA, a current dip depth of 56 percent indicating strong radial implosion, a compression ratio of 97.6x (sheath converging from cathode radius to near axis), and a peak current error versus experiment of 7 percent, an improvement over the pure Lee model. The 97.6x compression ratio is physically reasonable for a well-optimized PF-1000 discharge.</w:t>
      </w:r>
    </w:p>
    <w:p w14:paraId="7FDDB07D" w14:textId="77777777" w:rsidR="00DC4616" w:rsidRDefault="00000000">
      <w:pPr>
        <w:pStyle w:val="Heading2"/>
      </w:pPr>
      <w:r>
        <w:t>9.3 Metal MHD Validation</w:t>
      </w:r>
    </w:p>
    <w:p w14:paraId="76C8A670" w14:textId="77777777" w:rsidR="00DC4616" w:rsidRDefault="00000000">
      <w:pPr>
        <w:spacing w:after="200" w:line="276" w:lineRule="auto"/>
      </w:pPr>
      <w:r>
        <w:t>Full 2D MHD simulations produced maximum magnetic field strength of 18 T at the sheath-axis interface, Bennett temperature of 0.48 keV (5.6 million degrees), and visible density compression of 1.26x on a coarse 16×16×32 grid. The limited compression ratio on the coarse grid is a resolution effect — convergence studies confirm monotonically increasing compression with grid refinement. Cross-backend validation between the Metal solver and Athena++ shows Sod shock L1 density error below 15 percent, with the difference attributable to different reconstruction orders.</w:t>
      </w:r>
    </w:p>
    <w:p w14:paraId="0AA620A2" w14:textId="77777777" w:rsidR="00DC4616" w:rsidRDefault="00000000">
      <w:pPr>
        <w:pStyle w:val="Heading2"/>
      </w:pPr>
      <w:r>
        <w:t>9.4 Neutron Yield Comparison</w:t>
      </w:r>
    </w:p>
    <w:tbl>
      <w:tblPr>
        <w:tblW w:w="89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160"/>
      </w:tblGrid>
      <w:tr w:rsidR="00DC4616" w14:paraId="349C690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tcPr>
          <w:p w14:paraId="223EA9C4" w14:textId="77777777" w:rsidR="00DC4616" w:rsidRDefault="00000000">
            <w:r>
              <w:rPr>
                <w:b/>
                <w:bCs/>
                <w:sz w:val="22"/>
                <w:szCs w:val="22"/>
              </w:rPr>
              <w:t>Backend</w:t>
            </w:r>
          </w:p>
        </w:tc>
        <w:tc>
          <w:tcPr>
            <w:tcW w:w="24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tcPr>
          <w:p w14:paraId="59037F8C" w14:textId="77777777" w:rsidR="00DC4616" w:rsidRDefault="00000000">
            <w:r>
              <w:rPr>
                <w:b/>
                <w:bCs/>
                <w:sz w:val="22"/>
                <w:szCs w:val="22"/>
              </w:rPr>
              <w:t>Yn (D-D)</w:t>
            </w:r>
          </w:p>
        </w:tc>
        <w:tc>
          <w:tcPr>
            <w:tcW w:w="416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tcPr>
          <w:p w14:paraId="7640F24D" w14:textId="77777777" w:rsidR="00DC4616" w:rsidRDefault="00000000">
            <w:r>
              <w:rPr>
                <w:b/>
                <w:bCs/>
                <w:sz w:val="22"/>
                <w:szCs w:val="22"/>
              </w:rPr>
              <w:t>Method / Source</w:t>
            </w:r>
          </w:p>
        </w:tc>
      </w:tr>
      <w:tr w:rsidR="00DC4616" w14:paraId="7F4FE874"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756749" w14:textId="77777777" w:rsidR="00DC4616" w:rsidRDefault="00000000">
            <w:r>
              <w:rPr>
                <w:sz w:val="22"/>
                <w:szCs w:val="22"/>
              </w:rPr>
              <w:t>Lee Model</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085B80" w14:textId="77777777" w:rsidR="00DC4616" w:rsidRDefault="00000000">
            <w:r>
              <w:rPr>
                <w:sz w:val="22"/>
                <w:szCs w:val="22"/>
              </w:rPr>
              <w:t>2.4 × 10¹¹</w:t>
            </w:r>
          </w:p>
        </w:tc>
        <w:tc>
          <w:tcPr>
            <w:tcW w:w="4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AAFA45" w14:textId="77777777" w:rsidR="00DC4616" w:rsidRDefault="00000000">
            <w:r>
              <w:rPr>
                <w:sz w:val="22"/>
                <w:szCs w:val="22"/>
              </w:rPr>
              <w:t>Thermonuclear + beam-target</w:t>
            </w:r>
          </w:p>
        </w:tc>
      </w:tr>
      <w:tr w:rsidR="00DC4616" w14:paraId="1D4F76BE"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959D9B" w14:textId="77777777" w:rsidR="00DC4616" w:rsidRDefault="00000000">
            <w:r>
              <w:rPr>
                <w:sz w:val="22"/>
                <w:szCs w:val="22"/>
              </w:rPr>
              <w:t xml:space="preserve">Hybrid </w:t>
            </w:r>
            <w:proofErr w:type="spellStart"/>
            <w:r>
              <w:rPr>
                <w:sz w:val="22"/>
                <w:szCs w:val="22"/>
              </w:rPr>
              <w:t>Lee+MHD</w:t>
            </w:r>
            <w:proofErr w:type="spellEnd"/>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CC19B4" w14:textId="77777777" w:rsidR="00DC4616" w:rsidRDefault="00000000">
            <w:r>
              <w:rPr>
                <w:sz w:val="22"/>
                <w:szCs w:val="22"/>
              </w:rPr>
              <w:t>2.8 × 10¹²</w:t>
            </w:r>
          </w:p>
        </w:tc>
        <w:tc>
          <w:tcPr>
            <w:tcW w:w="4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02D26E" w14:textId="77777777" w:rsidR="00DC4616" w:rsidRDefault="00000000">
            <w:r>
              <w:rPr>
                <w:sz w:val="22"/>
                <w:szCs w:val="22"/>
              </w:rPr>
              <w:t>MHD-resolved pinch conditions</w:t>
            </w:r>
          </w:p>
        </w:tc>
      </w:tr>
      <w:tr w:rsidR="00DC4616" w14:paraId="73F8681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8B2B06" w14:textId="77777777" w:rsidR="00DC4616" w:rsidRDefault="00000000">
            <w:r>
              <w:rPr>
                <w:sz w:val="22"/>
                <w:szCs w:val="22"/>
              </w:rPr>
              <w:t>Experimental</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FE2A0B" w14:textId="77777777" w:rsidR="00DC4616" w:rsidRDefault="00000000">
            <w:r>
              <w:rPr>
                <w:sz w:val="22"/>
                <w:szCs w:val="22"/>
              </w:rPr>
              <w:t>~10¹¹</w:t>
            </w:r>
          </w:p>
        </w:tc>
        <w:tc>
          <w:tcPr>
            <w:tcW w:w="4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9FCFED" w14:textId="77777777" w:rsidR="00DC4616" w:rsidRDefault="00000000">
            <w:r>
              <w:rPr>
                <w:sz w:val="22"/>
                <w:szCs w:val="22"/>
              </w:rPr>
              <w:t>PF-1000 measured at 27 kV</w:t>
            </w:r>
          </w:p>
        </w:tc>
      </w:tr>
    </w:tbl>
    <w:p w14:paraId="1BBE7F58" w14:textId="77777777" w:rsidR="00DC4616" w:rsidRDefault="00000000">
      <w:pPr>
        <w:spacing w:after="200" w:line="276" w:lineRule="auto"/>
      </w:pPr>
      <w:r>
        <w:rPr>
          <w:i/>
          <w:iCs/>
        </w:rPr>
        <w:t>Table 2. Deuterium-deuterium neutron yield comparison across backends and experiment.</w:t>
      </w:r>
    </w:p>
    <w:p w14:paraId="76281AF9" w14:textId="77777777" w:rsidR="00DC4616" w:rsidRDefault="00000000">
      <w:pPr>
        <w:spacing w:after="200" w:line="276" w:lineRule="auto"/>
      </w:pPr>
      <w:r>
        <w:t>The Lee model yield is in reasonable agreement with published values. The hybrid yield is higher due to higher computed densities in the resolved pinch, a known tendency of MHD simulations that do not include radiation losses self-consistently in the pinch energy balance.</w:t>
      </w:r>
    </w:p>
    <w:p w14:paraId="7B9FB1A6" w14:textId="77777777" w:rsidR="00DC4616" w:rsidRDefault="00000000">
      <w:pPr>
        <w:pStyle w:val="Heading2"/>
      </w:pPr>
      <w:r>
        <w:t>9.5 AI-Simulated PhD Committee Review</w:t>
      </w:r>
    </w:p>
    <w:p w14:paraId="386F1C6D" w14:textId="77777777" w:rsidR="00DC4616" w:rsidRDefault="00000000">
      <w:pPr>
        <w:spacing w:after="200" w:line="276" w:lineRule="auto"/>
      </w:pPr>
      <w:r>
        <w:t>An AI-powered review session simulating a PhD dissertation defense committee (comprising a plasma physicist, a computational physicist, and a pulsed power engineer) assigned an initial grade of C+ to the simulator, identifying six critical issues: one-way MHD-circuit coupling, absent radiation in Metal MHD, missing crowbar inductance, no NRMSE validation, no convergence study, and no reproducibility metadata. All six issues were addressed in a single autonomous development session comprising six commits with approximately 2,500 insertions. The projected grade after fixes was B+, with the path to A- requiring resolved current sheath structure on fine grids and self-consistent radiation transport in the pinch.</w:t>
      </w:r>
    </w:p>
    <w:p w14:paraId="19A24376" w14:textId="77777777" w:rsidR="00DC4616" w:rsidRDefault="00000000">
      <w:r>
        <w:br w:type="page"/>
      </w:r>
    </w:p>
    <w:p w14:paraId="0102D2BF" w14:textId="77777777" w:rsidR="00DC4616" w:rsidRDefault="00000000">
      <w:pPr>
        <w:pStyle w:val="Heading1"/>
      </w:pPr>
      <w:r>
        <w:t>10. Lessons Learned: Process, Theory, and Generalization</w:t>
      </w:r>
    </w:p>
    <w:p w14:paraId="645BAACC" w14:textId="77777777" w:rsidR="00DC4616" w:rsidRDefault="00000000">
      <w:pPr>
        <w:spacing w:after="200" w:line="276" w:lineRule="auto"/>
      </w:pPr>
      <w:r>
        <w:t xml:space="preserve">This section expands substantially on the lessons extracted from fourteen months of AI-augmented scientific software development. Rather than presenting these lessons as isolated observations, we organize them within the theoretical framework of how large language models </w:t>
      </w:r>
      <w:proofErr w:type="gramStart"/>
      <w:r>
        <w:t>actually function</w:t>
      </w:r>
      <w:proofErr w:type="gramEnd"/>
      <w:r>
        <w:t xml:space="preserve">, trace how our development processes evolved in response to discovered </w:t>
      </w:r>
      <w:proofErr w:type="gramStart"/>
      <w:r>
        <w:t>limitations, and</w:t>
      </w:r>
      <w:proofErr w:type="gramEnd"/>
      <w:r>
        <w:t xml:space="preserve"> demonstrate how the methodology generalizes to scientific research at any scale and in any domain.</w:t>
      </w:r>
    </w:p>
    <w:p w14:paraId="2BB443E8" w14:textId="77777777" w:rsidR="00DC4616" w:rsidRDefault="00000000">
      <w:pPr>
        <w:pStyle w:val="Heading2"/>
      </w:pPr>
      <w:r>
        <w:t xml:space="preserve">10.1 A Brief History of the Technology: From </w:t>
      </w:r>
      <w:proofErr w:type="spellStart"/>
      <w:r>
        <w:t>Perceptrons</w:t>
      </w:r>
      <w:proofErr w:type="spellEnd"/>
      <w:r>
        <w:t xml:space="preserve"> to Transformers</w:t>
      </w:r>
    </w:p>
    <w:p w14:paraId="3D9DDA85" w14:textId="77777777" w:rsidR="00DC4616" w:rsidRDefault="00000000">
      <w:pPr>
        <w:spacing w:after="200" w:line="276" w:lineRule="auto"/>
      </w:pPr>
      <w:r>
        <w:t xml:space="preserve">Understanding why AI-augmented development behaves as it does requires understanding the technology’s intellectual lineage. The conceptual foundations of artificial neural networks trace to the 1940s, when Donald Hebb proposed that synaptic connections between neurons strengthen when they fire together, a principle now known as Hebbian learning. Frank Rosenblatt’s perceptron (1958) demonstrated that a single layer of weighted connections could learn to classify inputs, but Minsky and </w:t>
      </w:r>
      <w:proofErr w:type="spellStart"/>
      <w:r>
        <w:t>Papert</w:t>
      </w:r>
      <w:proofErr w:type="spellEnd"/>
      <w:r>
        <w:t xml:space="preserve"> (1969) proved that single-layer </w:t>
      </w:r>
      <w:proofErr w:type="spellStart"/>
      <w:r>
        <w:t>perceptrons</w:t>
      </w:r>
      <w:proofErr w:type="spellEnd"/>
      <w:r>
        <w:t xml:space="preserve"> could not solve non-</w:t>
      </w:r>
      <w:proofErr w:type="gramStart"/>
      <w:r>
        <w:t>linearly-separable</w:t>
      </w:r>
      <w:proofErr w:type="gramEnd"/>
      <w:r>
        <w:t xml:space="preserve"> problems such as the exclusive-or function, triggering the first “AI winter” of reduced funding and interest.</w:t>
      </w:r>
    </w:p>
    <w:p w14:paraId="6BD505D8" w14:textId="77777777" w:rsidR="00DC4616" w:rsidRDefault="00000000">
      <w:pPr>
        <w:spacing w:after="200" w:line="276" w:lineRule="auto"/>
      </w:pPr>
      <w:r>
        <w:t xml:space="preserve">The field revived in the 1980s with backpropagation (Rumelhart, Hinton, &amp; Williams, 1986), which enabled training of multi-layer networks by propagating error gradients from output to input. Recurrent neural networks (RNNs) extended this to sequential </w:t>
      </w:r>
      <w:proofErr w:type="gramStart"/>
      <w:r>
        <w:t>data, but</w:t>
      </w:r>
      <w:proofErr w:type="gramEnd"/>
      <w:r>
        <w:t xml:space="preserve"> suffered from vanishing gradients that prevented learning long-range dependencies. The Long Short-Term Memory architecture (Hochreiter &amp; </w:t>
      </w:r>
      <w:proofErr w:type="spellStart"/>
      <w:r>
        <w:t>Schmidhuber</w:t>
      </w:r>
      <w:proofErr w:type="spellEnd"/>
      <w:r>
        <w:t>, 1997) addressed this with gated memory cells, becoming the dominant sequence model for two decades. Convolutional neural networks (LeCun et al., 1998) and deep learning (</w:t>
      </w:r>
      <w:proofErr w:type="spellStart"/>
      <w:r>
        <w:t>Krizhevsky</w:t>
      </w:r>
      <w:proofErr w:type="spellEnd"/>
      <w:r>
        <w:t xml:space="preserve"> et al., 2012) brought breakthroughs in image recognition, but sequence processing remained bottlenecked by the fundamentally serial nature of recurrent computation.</w:t>
      </w:r>
    </w:p>
    <w:p w14:paraId="664E0E07" w14:textId="77777777" w:rsidR="00DC4616" w:rsidRDefault="00000000">
      <w:pPr>
        <w:spacing w:after="200" w:line="276" w:lineRule="auto"/>
      </w:pPr>
      <w:r>
        <w:t>The transformer architecture, introduced in “Attention Is All You Need” (Vaswani et al., 2017), eliminated recurrence entirely. Instead of processing tokens sequentially, the transformer uses a multi-head self-attention mechanism where every token in a sequence attends to every other token in parallel. This parallelism enabled training on vastly larger datasets and produced the scaling laws that drive modern LLM capability: performance improves predictably with increases in model parameters, training data, and compute. GPT-3 (175 billion parameters, Brown et al., 2020) demonstrated that scale alone could produce emergent capabilities such as few-shot learning, code generation, and mathematical reasoning that were absent in smaller models.</w:t>
      </w:r>
    </w:p>
    <w:p w14:paraId="5B7D0539" w14:textId="77777777" w:rsidR="00DC4616" w:rsidRDefault="00000000">
      <w:pPr>
        <w:spacing w:after="200" w:line="276" w:lineRule="auto"/>
      </w:pPr>
      <w:r>
        <w:t>The models used in this project — GPT-4, GPT-5 variants, and Claude Opus — are all transformer-based architectures with progressively larger parameter counts, longer context windows, and more sophisticated training procedures including reinforcement learning from human feedback (RLHF). Understanding the transformer’s fundamental mechanism — autoregressive next-token prediction — is essential to understanding both the strengths and the failure modes we encountered.</w:t>
      </w:r>
    </w:p>
    <w:p w14:paraId="663E3E03" w14:textId="77777777" w:rsidR="00DC4616" w:rsidRDefault="00000000">
      <w:pPr>
        <w:pStyle w:val="Heading2"/>
      </w:pPr>
      <w:r>
        <w:t>10.2 Why the Architecture Produces the Behaviors We Observed</w:t>
      </w:r>
    </w:p>
    <w:p w14:paraId="7CDDDEEA" w14:textId="77777777" w:rsidR="00DC4616" w:rsidRDefault="00000000">
      <w:pPr>
        <w:spacing w:after="200" w:line="276" w:lineRule="auto"/>
      </w:pPr>
      <w:r>
        <w:t>Every limitation encountered during this project can be traced to a specific property of the transformer architecture and its training procedure. This is not a criticism of the technology; it is an explanation that enables practitioners to predict and mitigate failure modes in their own AI-augmented research.</w:t>
      </w:r>
    </w:p>
    <w:p w14:paraId="66BDB170" w14:textId="77777777" w:rsidR="00DC4616" w:rsidRDefault="00000000">
      <w:pPr>
        <w:pStyle w:val="Heading2"/>
        <w:spacing w:before="200" w:after="120"/>
      </w:pPr>
      <w:r>
        <w:rPr>
          <w:i/>
          <w:iCs/>
          <w:sz w:val="26"/>
          <w:szCs w:val="26"/>
        </w:rPr>
        <w:t>10.2.1 The Next-Token Prediction Objective and Hallucination</w:t>
      </w:r>
    </w:p>
    <w:p w14:paraId="164D0E40" w14:textId="77777777" w:rsidR="00DC4616" w:rsidRDefault="00000000">
      <w:pPr>
        <w:spacing w:after="200" w:line="276" w:lineRule="auto"/>
      </w:pPr>
      <w:r>
        <w:t>Large language models are trained to predict the most probable next token given all preceding tokens. The training objective is to minimize cross-entropy loss between the predicted token distribution and the actual next token in the training corpus. Crucially, this objective contains no mechanism for distinguishing true statements from plausible-sounding false statements. The model learns statistical associations between token sequences, not ground truth about the physical world. When the model generates the Bosch-Hale reactivity coefficient a1 = 6.3718 × 10⁻², it is producing the token sequence that maximizes the conditional probability given the preceding context — not looking up the value in a physics database.</w:t>
      </w:r>
    </w:p>
    <w:p w14:paraId="25286AB1" w14:textId="77777777" w:rsidR="00DC4616" w:rsidRDefault="00000000">
      <w:pPr>
        <w:spacing w:after="200" w:line="276" w:lineRule="auto"/>
      </w:pPr>
      <w:r>
        <w:t>This explains our hallucination observations precisely. The hallucinated Bosch-Hale coefficients were plausible in magnitude, format, and number of significant figures because the model’s training data contains many examples of similar coefficient tables. The values were wrong because the model was interpolating in token probability space, not in physical constant space. The reference database resolved this by replacing probabilistic generation with deterministic retrieval: the AI queries the database for the exact published values rather than generating them from its internal probability distribution. This is the single most important methodological lesson for any researcher using AI for physics code generation.</w:t>
      </w:r>
    </w:p>
    <w:p w14:paraId="1A91E00B" w14:textId="77777777" w:rsidR="00DC4616" w:rsidRDefault="00000000">
      <w:pPr>
        <w:pStyle w:val="Heading2"/>
        <w:spacing w:before="200" w:after="120"/>
      </w:pPr>
      <w:r>
        <w:rPr>
          <w:i/>
          <w:iCs/>
          <w:sz w:val="26"/>
          <w:szCs w:val="26"/>
        </w:rPr>
        <w:t>10.2.2 Autoregressive Error Compounding and Coupled Systems</w:t>
      </w:r>
    </w:p>
    <w:p w14:paraId="694CD45E" w14:textId="77777777" w:rsidR="00DC4616" w:rsidRDefault="00000000">
      <w:pPr>
        <w:spacing w:after="200" w:line="276" w:lineRule="auto"/>
      </w:pPr>
      <w:r>
        <w:t>Autoregressive generation means each token conditions on all previously generated tokens. Mathematically, the probability of a complete sequence is the product of conditional probabilities at each step. This creates a compounding error property: a small mistake early in generation biases all subsequent tokens toward consistency with the mistake rather than consistency with physical truth. In the context of the DPF solver, when the AI generated the circuit solver in isolation and then the plasma solver in isolation, each was internally consistent. But when they were composed, the coupling between them reflected the AI’s local reasoning at the point of composition rather than a global understanding of how circuits and plasmas interact. The one-way coupling defect (Section 6.5) is a direct manifestation of this property: the AI “forgot” the back-EMF coupling by the time it reached the code that connected the two solvers, because the connection code was generated many thousands of tokens after the physics reasoning that should have informed it.</w:t>
      </w:r>
    </w:p>
    <w:p w14:paraId="437C1A33" w14:textId="77777777" w:rsidR="00DC4616" w:rsidRDefault="00000000">
      <w:pPr>
        <w:pStyle w:val="Heading2"/>
        <w:spacing w:before="200" w:after="120"/>
      </w:pPr>
      <w:r>
        <w:rPr>
          <w:i/>
          <w:iCs/>
          <w:sz w:val="26"/>
          <w:szCs w:val="26"/>
        </w:rPr>
        <w:t>10.2.3 Context Window Limitations and Architectural Coherence</w:t>
      </w:r>
    </w:p>
    <w:p w14:paraId="0B0600A1" w14:textId="77777777" w:rsidR="00DC4616" w:rsidRDefault="00000000">
      <w:pPr>
        <w:spacing w:after="200" w:line="276" w:lineRule="auto"/>
      </w:pPr>
      <w:r>
        <w:t>The transformer’s attention mechanism has quadratic computational complexity in sequence length. While engineering advances have extended context windows from 8K tokens in early GPT-4 to over one million tokens in Claude Opus 4.6, the effective utilization of context degrades with length. Research has shown that LLMs exhibit a “lost in the middle” phenomenon where information at the beginning and end of the context window receives more attention than information in the middle (Liu et al., 2024). For a multi-physics simulator with dozens of source files, the AI’s awareness of early architectural decisions may weaken as new code fills the context window, producing inconsistencies that manifest as integration bugs rather than individual module errors.</w:t>
      </w:r>
    </w:p>
    <w:p w14:paraId="0052DBC3" w14:textId="77777777" w:rsidR="00DC4616" w:rsidRDefault="00000000">
      <w:pPr>
        <w:spacing w:after="200" w:line="276" w:lineRule="auto"/>
      </w:pPr>
      <w:r>
        <w:t>Our process evolution directly addressed this limitation. The shift from conversational prototyping (where context was lost between sessions) to Claude Code (where the AI could read files on demand rather than holding the entire codebase in context) was not merely a convenience improvement. It fundamentally changed the information retrieval pattern from “everything in context at once” to “retrieve what is needed when it is needed,” which aligns much better with the transformer’s actual attention behavior.</w:t>
      </w:r>
    </w:p>
    <w:p w14:paraId="05C56EF5" w14:textId="77777777" w:rsidR="00DC4616" w:rsidRDefault="00000000">
      <w:pPr>
        <w:pStyle w:val="Heading2"/>
        <w:spacing w:before="200" w:after="120"/>
      </w:pPr>
      <w:r>
        <w:rPr>
          <w:i/>
          <w:iCs/>
          <w:sz w:val="26"/>
          <w:szCs w:val="26"/>
        </w:rPr>
        <w:t>10.2.4 Training Data Distribution and Novel Physics</w:t>
      </w:r>
    </w:p>
    <w:p w14:paraId="023E5971" w14:textId="77777777" w:rsidR="00DC4616" w:rsidRDefault="00000000">
      <w:pPr>
        <w:spacing w:after="200" w:line="276" w:lineRule="auto"/>
      </w:pPr>
      <w:r>
        <w:t>LLMs can only generate outputs that are within the distribution of their training data or near-distribution interpolations thereof. The training corpus contains abundant examples of implementing well-known equations (Navier-Stokes, Maxwell’s equations, basic circuit dynamics) because these appear frequently in textbooks, tutorials, and code repositories. It contains far fewer examples of novel physics models because, by definition, novel models have not yet been widely published or implemented. When we asked the AI to propose a novel anomalous resistivity model, it produced a formulation that was a weighted combination of existing models — a mathematically valid interpolation within the training distribution, but not a physically motivated derivation from first principles. The AI cannot extrapolate beyond its training distribution in the way that a physicist performing theoretical research can.</w:t>
      </w:r>
    </w:p>
    <w:p w14:paraId="2CF9FAE3" w14:textId="77777777" w:rsidR="00DC4616" w:rsidRDefault="00000000">
      <w:pPr>
        <w:pStyle w:val="Heading2"/>
      </w:pPr>
      <w:r>
        <w:t>10.3 How Our Development Process Evolved</w:t>
      </w:r>
    </w:p>
    <w:p w14:paraId="0D1A97ED" w14:textId="77777777" w:rsidR="00DC4616" w:rsidRDefault="00000000">
      <w:pPr>
        <w:spacing w:after="200" w:line="276" w:lineRule="auto"/>
      </w:pPr>
      <w:r>
        <w:t>The development process was not static; it evolved through four distinct methodological phases, each responding to limitations discovered in the previous phase. Documenting this evolution is important because it provides a transferable template for other researchers adopting AI-augmented development.</w:t>
      </w:r>
    </w:p>
    <w:p w14:paraId="50431113" w14:textId="77777777" w:rsidR="00DC4616" w:rsidRDefault="00000000">
      <w:pPr>
        <w:pStyle w:val="Heading2"/>
        <w:spacing w:before="200" w:after="120"/>
      </w:pPr>
      <w:r>
        <w:rPr>
          <w:i/>
          <w:iCs/>
          <w:sz w:val="26"/>
          <w:szCs w:val="26"/>
        </w:rPr>
        <w:t>10.3.1 Phase I: Copy-Paste Integration (January–April 2025)</w:t>
      </w:r>
    </w:p>
    <w:p w14:paraId="37F2E5A9" w14:textId="77777777" w:rsidR="00DC4616" w:rsidRDefault="00000000">
      <w:pPr>
        <w:spacing w:after="200" w:line="276" w:lineRule="auto"/>
      </w:pPr>
      <w:r>
        <w:t>In the first phase, the development workflow was: prompt the AI with a physics description, receive code in a chat window, manually copy it into a source file, run it in a separate terminal, observe the error, paste the error back into the chat, and iterate. This workflow had three critical inefficiencies. First, the round-trip latency between generating code and discovering bugs was measured in minutes, dominated by the human copy-paste-run cycle. Second, the AI had no memory of the project between sessions, requiring re-explanation of the architecture at the start of each conversation. Third, the human developer served as the integration layer between individually generated components, inheriting all responsibility for multi-file consistency.</w:t>
      </w:r>
    </w:p>
    <w:p w14:paraId="7C61637A" w14:textId="77777777" w:rsidR="00DC4616" w:rsidRDefault="00000000">
      <w:pPr>
        <w:spacing w:after="200" w:line="276" w:lineRule="auto"/>
      </w:pPr>
      <w:r>
        <w:t>The process produced working individual modules — the RLC solver, the snowplow integrator, the Bosch-Hale reactivity function — but integration was entirely manual. The developer maintained a mental model of how the modules should connect, and when that mental model contained errors (such as the assumption that circuit-plasma coupling could be one-directional), the AI had no mechanism to detect or correct them.</w:t>
      </w:r>
    </w:p>
    <w:p w14:paraId="3F322C6B" w14:textId="77777777" w:rsidR="00DC4616" w:rsidRDefault="00000000">
      <w:pPr>
        <w:pStyle w:val="Heading2"/>
        <w:spacing w:before="200" w:after="120"/>
      </w:pPr>
      <w:r>
        <w:rPr>
          <w:i/>
          <w:iCs/>
          <w:sz w:val="26"/>
          <w:szCs w:val="26"/>
        </w:rPr>
        <w:t>10.3.2 Phase II: Paper-in-Context Development (May–September 2025)</w:t>
      </w:r>
    </w:p>
    <w:p w14:paraId="02DECA55" w14:textId="77777777" w:rsidR="00DC4616" w:rsidRDefault="00000000">
      <w:pPr>
        <w:spacing w:after="200" w:line="276" w:lineRule="auto"/>
      </w:pPr>
      <w:r>
        <w:t>The second phase exploited larger context windows to ingest complete research papers alongside the prompt. Rather than describing the Lee model in prose and hoping the AI captured the essential physics, the developer could paste the full Lee (2008) paper into context and instruct “implement the five-phase model described in Sections 3 through 7.” This produced substantially better code because the AI had access to the complete physical reasoning, boundary conditions, parameter ranges, and validation data that the paper contained.</w:t>
      </w:r>
    </w:p>
    <w:p w14:paraId="3804E0F7" w14:textId="77777777" w:rsidR="00DC4616" w:rsidRDefault="00000000">
      <w:pPr>
        <w:spacing w:after="200" w:line="276" w:lineRule="auto"/>
      </w:pPr>
      <w:r>
        <w:t>The process evolution was driven by a specific failure: in Phase I, the AI implemented the radial phase transition criterion using a simplified condition that the developer described in a prompt. The simplified condition was subtly wrong; the full paper specified a more nuanced condition involving both sheath position and velocity. When the full paper was in context, the AI implemented the correct condition because it could see the author’s complete reasoning rather than the developer’s imperfect summary of it.</w:t>
      </w:r>
    </w:p>
    <w:p w14:paraId="2E374584" w14:textId="77777777" w:rsidR="00DC4616" w:rsidRDefault="00000000">
      <w:pPr>
        <w:spacing w:after="200" w:line="276" w:lineRule="auto"/>
      </w:pPr>
      <w:r>
        <w:t>The limitation of this phase was that the human still served as the test-execute-debug layer. The AI generated better code but could not verify it.</w:t>
      </w:r>
    </w:p>
    <w:p w14:paraId="1972A502" w14:textId="77777777" w:rsidR="00DC4616" w:rsidRDefault="00000000">
      <w:pPr>
        <w:pStyle w:val="Heading2"/>
        <w:spacing w:before="200" w:after="120"/>
      </w:pPr>
      <w:r>
        <w:rPr>
          <w:i/>
          <w:iCs/>
          <w:sz w:val="26"/>
          <w:szCs w:val="26"/>
        </w:rPr>
        <w:t>10.3.3 Phase III: Architecture Pivot Through Reasoning (October–December 2025)</w:t>
      </w:r>
    </w:p>
    <w:p w14:paraId="5E30FF36" w14:textId="77777777" w:rsidR="00DC4616" w:rsidRDefault="00000000">
      <w:pPr>
        <w:spacing w:after="200" w:line="276" w:lineRule="auto"/>
      </w:pPr>
      <w:r>
        <w:t>The third phase used extended chain-of-thought reasoning to perform systematic analysis of the project’s fundamental assumptions. Rather than asking the AI to implement the next feature, the developer asked it to evaluate whether the existing architecture could achieve its stated goals. The resulting analysis was the most valuable single output of the entire project: a rigorous argument, grounded in instability growth rates and characteristic timescales, that the reduced-order pinch model was fundamentally limited and could not produce reliable temperature predictions. This reasoning led directly to the architecture pivot toward spatially resolved simulation.</w:t>
      </w:r>
    </w:p>
    <w:p w14:paraId="18BBB162" w14:textId="77777777" w:rsidR="00DC4616" w:rsidRDefault="00000000">
      <w:pPr>
        <w:spacing w:after="200" w:line="276" w:lineRule="auto"/>
      </w:pPr>
      <w:r>
        <w:t xml:space="preserve">The process insight was that AI is more valuable for critical analysis of existing designs than for generating new designs from scratch. The chain-of-thought reasoning that produced the pivot analysis was methodical, literature-grounded, and quantitative — exactly the kind of analysis that a human researcher performs during a literature </w:t>
      </w:r>
      <w:proofErr w:type="gramStart"/>
      <w:r>
        <w:t>review, but</w:t>
      </w:r>
      <w:proofErr w:type="gramEnd"/>
      <w:r>
        <w:t xml:space="preserve"> compressed into minutes rather than weeks.</w:t>
      </w:r>
    </w:p>
    <w:p w14:paraId="7390AC41" w14:textId="77777777" w:rsidR="00DC4616" w:rsidRDefault="00000000">
      <w:pPr>
        <w:pStyle w:val="Heading2"/>
        <w:spacing w:before="200" w:after="120"/>
      </w:pPr>
      <w:r>
        <w:rPr>
          <w:i/>
          <w:iCs/>
          <w:sz w:val="26"/>
          <w:szCs w:val="26"/>
        </w:rPr>
        <w:t>10.3.4 Phase IV: Autonomous Development Loop (January–March 2026)</w:t>
      </w:r>
    </w:p>
    <w:p w14:paraId="102D2789" w14:textId="77777777" w:rsidR="00DC4616" w:rsidRDefault="00000000">
      <w:pPr>
        <w:spacing w:after="200" w:line="276" w:lineRule="auto"/>
      </w:pPr>
      <w:r>
        <w:t>The fourth phase, enabled by Claude Code, closed the development loop entirely. The workflow became: human defines the physics goal (“implement HLLD Riemann solver per Miyoshi &amp; Kusano 2005”), AI reads the relevant source files, writes the implementation, writes tests, runs the tests, fixes failures, runs the linter, commits the changes, and reports the result. The human reviewed the physics of the implementation (is this the correct HLLD formulation?) rather than the mechanics of integration (do the files compile and do the tests pass?).</w:t>
      </w:r>
    </w:p>
    <w:p w14:paraId="2F52783B" w14:textId="77777777" w:rsidR="00DC4616" w:rsidRDefault="00000000">
      <w:pPr>
        <w:spacing w:after="200" w:line="276" w:lineRule="auto"/>
      </w:pPr>
      <w:r>
        <w:t xml:space="preserve">The most significant process innovation in this phase was sprint </w:t>
      </w:r>
      <w:proofErr w:type="gramStart"/>
      <w:r>
        <w:t>chaining:</w:t>
      </w:r>
      <w:proofErr w:type="gramEnd"/>
      <w:r>
        <w:t xml:space="preserve"> when the AI completed a task and the next task was clearly defined, it proceeded immediately without waiting for human approval. A multi-sprint session in March 2026 produced six commits with approximately 2,500 insertions — implementing back-EMF circuit coupling, bremsstrahlung radiation losses, crowbar switch inductance, NRMSE validation, convergence study framework, and reproducibility metadata — in a single autonomous session. This level of productivity would have required weeks in Phase I.</w:t>
      </w:r>
    </w:p>
    <w:p w14:paraId="09DB3186" w14:textId="77777777" w:rsidR="00DC4616" w:rsidRDefault="00000000">
      <w:pPr>
        <w:spacing w:after="200" w:line="276" w:lineRule="auto"/>
      </w:pPr>
      <w:r>
        <w:t>The process also introduced persistent memory: the AI wrote observations about discovered patterns and bugs to memory files that survived context window resets. When a new session began, the AI loaded these memory files and had immediate access to hard-won knowledge such as “Hall MHD causes overflow on coarse grids with strong B — whistler CFL constraint is much more restrictive than MHD CFL.” This pattern effectively implemented organizational knowledge management for a single-developer project.</w:t>
      </w:r>
    </w:p>
    <w:p w14:paraId="39079D19" w14:textId="77777777" w:rsidR="00DC4616" w:rsidRDefault="00000000">
      <w:pPr>
        <w:pStyle w:val="Heading2"/>
      </w:pPr>
      <w:r>
        <w:t>10.4 AI Strength: Knowledge Synthesis at Scale</w:t>
      </w:r>
    </w:p>
    <w:p w14:paraId="7422A37E" w14:textId="77777777" w:rsidR="00DC4616" w:rsidRDefault="00000000">
      <w:pPr>
        <w:spacing w:after="200" w:line="276" w:lineRule="auto"/>
      </w:pPr>
      <w:r>
        <w:t>The primary strength of AI in this development was ingesting and synthesizing existing knowledge at a scale no individual researcher can match. The DPF literature spans sixty years and hundreds of papers across journals in plasma physics, pulsed power engineering, nuclear science, and computational fluid dynamics. No single human can read, internalize, and maintain simultaneous awareness of all published Lee model parameters for forty-plus devices, circuit configurations spanning three orders of magnitude in stored energy, experimental measurements from dozens of laboratories, and physical models ranging from zero-dimensional snowplow to fully kinetic particle-in-cell.</w:t>
      </w:r>
    </w:p>
    <w:p w14:paraId="6FE709B0" w14:textId="77777777" w:rsidR="00DC4616" w:rsidRDefault="00000000">
      <w:pPr>
        <w:spacing w:after="200" w:line="276" w:lineRule="auto"/>
      </w:pPr>
      <w:r>
        <w:t>The reference database amplified this strength. When the AI needed to implement the Bosch-Hale reactivity, it queried a curated database of published values and received the exact polynomial coefficients from the original 1992 publication, including the applicable temperature range (0.5–550 keV) and fitting accuracy. When it needed PF-1000 circuit parameters, it retrieved the Scholz et al. (2006) values including the note about short-circuit calibration. When it needed to validate neutron yield predictions, it could cross-reference measured yields from seven devices spanning three orders of magnitude in stored energy. This grounding in primary sources was the most impactful methodological choice in the entire project.</w:t>
      </w:r>
    </w:p>
    <w:p w14:paraId="0D6B9AF4" w14:textId="77777777" w:rsidR="00DC4616" w:rsidRDefault="00000000">
      <w:pPr>
        <w:pStyle w:val="Heading2"/>
      </w:pPr>
      <w:r>
        <w:t>10.5 AI Limitation: Novel Physics Reasoning</w:t>
      </w:r>
    </w:p>
    <w:p w14:paraId="74243969" w14:textId="77777777" w:rsidR="00DC4616" w:rsidRDefault="00000000">
      <w:pPr>
        <w:spacing w:after="200" w:line="276" w:lineRule="auto"/>
      </w:pPr>
      <w:r>
        <w:t>The most significant limitation — and the one most important for the scientific community to understand — is that AI can implement equations from papers but cannot yet design novel physics models. This limitation is not a temporary shortcoming that will be resolved by scaling; it is a structural consequence of the next-token prediction training objective. When asked to implement the Bosch-Hale reactivity or the Bennett equilibrium, the AI produced correct code efficiently because these are well-represented in its training distribution. When asked to propose a novel anomalous resistivity model that accounts for effects not described in the published literature, the AI produced plausible-sounding but physically unmotivated formulations — sophisticated interpolations within its training distribution, not theoretical derivations from first principles.</w:t>
      </w:r>
    </w:p>
    <w:p w14:paraId="2CBB68E2" w14:textId="77777777" w:rsidR="00DC4616" w:rsidRDefault="00000000">
      <w:pPr>
        <w:spacing w:after="200" w:line="276" w:lineRule="auto"/>
      </w:pPr>
      <w:r>
        <w:t>This distinction maps precisely onto the taxonomy of research activities. Literature review, equation implementation, parameter extraction, cross-referencing, unit conversion, and code generation are all tasks where the AI is performing within-distribution synthesis. Hypothesis generation, model design, and theoretical derivation are out-of-distribution tasks where the AI’s outputs require substantially more human scrutiny. The human physicist remains essential for the latter category, and the methodology should be designed to allocate human attention accordingly.</w:t>
      </w:r>
    </w:p>
    <w:p w14:paraId="2CB3639F" w14:textId="77777777" w:rsidR="00DC4616" w:rsidRDefault="00000000">
      <w:pPr>
        <w:pStyle w:val="Heading2"/>
      </w:pPr>
      <w:r>
        <w:t>10.6 The Hallucination Problem: Mechanism and Resolution</w:t>
      </w:r>
    </w:p>
    <w:p w14:paraId="7901831B" w14:textId="77777777" w:rsidR="00DC4616" w:rsidRDefault="00000000">
      <w:pPr>
        <w:spacing w:after="200" w:line="276" w:lineRule="auto"/>
      </w:pPr>
      <w:r>
        <w:t>The hallucination problem in scientific computing deserves detailed treatment because it has been formally studied (Xu et al., 2024; Huang et al., 2025) and because our experience provides a concrete case study for the theoretical mechanisms identified in the literature. Large language models hallucinate because they are optimizing for the probability of the next token, not for the truth of the generated statement. The training objective — minimizing cross-entropy loss against the training corpus — contains no explicit penalty for factual incorrectness. The model learns that certain token patterns (such as a coefficient followed by “× 10⁻²” in a physics context) are statistically likely, and it generates tokens that match these patterns regardless of whether the specific numerical value is correct.</w:t>
      </w:r>
    </w:p>
    <w:p w14:paraId="4A0F936D" w14:textId="77777777" w:rsidR="00DC4616" w:rsidRDefault="00000000">
      <w:pPr>
        <w:spacing w:after="200" w:line="276" w:lineRule="auto"/>
      </w:pPr>
      <w:r>
        <w:t>In our experience, hallucinated physics constants shared a consistent profile: correct order of magnitude, correct number of significant figures, correct units, and correct formatting — all the statistical features that the model learned from its training data — but incorrect numerical values. In one early instance, the AI generated Bosch-Hale reactivity coefficients that produced neutron yields differing from published tabulated values by a factor of three. The error was not detectable by inspection because the coefficients looked correct. It was detected only by numerical validation against published values.</w:t>
      </w:r>
    </w:p>
    <w:p w14:paraId="529796BC" w14:textId="77777777" w:rsidR="00DC4616" w:rsidRDefault="00000000">
      <w:pPr>
        <w:spacing w:after="200" w:line="276" w:lineRule="auto"/>
      </w:pPr>
      <w:r>
        <w:t>The structured reference database eliminated this class of errors entirely, reducing the hallucination rate for physics constants to zero in all sessions that used the database. The mechanism is straightforward: the database provides deterministic retrieval of exact published values, bypassing the probabilistic generation that causes hallucination. For any researcher using AI for scientific code generation, the lesson is unambiguous: ground the AI in primary sources through structured databases, curated datasets, or retrieved document passages. Do not rely on the model’s training data as a source of physical constants, no matter how capable the model appears.</w:t>
      </w:r>
    </w:p>
    <w:p w14:paraId="1C7E97D8" w14:textId="77777777" w:rsidR="00DC4616" w:rsidRDefault="00000000">
      <w:pPr>
        <w:pStyle w:val="Heading2"/>
      </w:pPr>
      <w:r>
        <w:t>10.7 Cost Optimization Through Multi-LLM Routing</w:t>
      </w:r>
    </w:p>
    <w:p w14:paraId="3F940260" w14:textId="77777777" w:rsidR="00DC4616" w:rsidRDefault="00000000">
      <w:pPr>
        <w:spacing w:after="200" w:line="276" w:lineRule="auto"/>
      </w:pPr>
      <w:r>
        <w:t>The multi-LLM routing strategy reduced development costs by an estimated factor of ten compared to using the most capable model for everything. The strategy is grounded in a simple observation: the distribution of development tasks by difficulty is heavily skewed. Approximately 70 percent of development tasks (test scaffolding, file searching, boilerplate generation, documentation formatting, import fixing) require minimal reasoning and can be handled by the most economical models. Approximately 25 percent of tasks (code implementation, multi-file refactoring, debugging) require moderate reasoning. Only about 5 percent of tasks (physics architecture decisions, conservation-law verification, numerical stability analysis) require the deep reasoning of the most capable models.</w:t>
      </w:r>
    </w:p>
    <w:p w14:paraId="2C2BEC9A" w14:textId="77777777" w:rsidR="00DC4616" w:rsidRDefault="00000000">
      <w:pPr>
        <w:spacing w:after="200" w:line="276" w:lineRule="auto"/>
      </w:pPr>
      <w:r>
        <w:t>The routing was implemented through explicit model assignment in the project configuration. Claude Opus handled physics design, architecture decisions, and validation analysis. Claude Sonnet handled code implementation, multi-file edits, test writing, and documentation. Claude Haiku handled codebase search, test scaffolding, and monitoring tasks. Google Gemini Ultra, on a fixed-cost subscription, provided unlimited literature research queries at zero marginal cost. A local Qwen3-Coder-30B model running on Apple Silicon handled code completion and routing decisions at zero cost. This layered approach mirrors the staffing model of a well-run research group, where senior researchers make strategic decisions and junior staff execute the volume of implementation work.</w:t>
      </w:r>
    </w:p>
    <w:p w14:paraId="2C208D9D" w14:textId="77777777" w:rsidR="00DC4616" w:rsidRDefault="00000000">
      <w:pPr>
        <w:pStyle w:val="Heading2"/>
      </w:pPr>
      <w:r>
        <w:t>10.8 The Indispensable Human Role</w:t>
      </w:r>
    </w:p>
    <w:p w14:paraId="77E58651" w14:textId="77777777" w:rsidR="00DC4616" w:rsidRDefault="00000000">
      <w:pPr>
        <w:spacing w:after="200" w:line="276" w:lineRule="auto"/>
      </w:pPr>
      <w:r>
        <w:t>A user acceptance test by a senior electrical engineer with DPF experimental experience revealed user-experience issues invisible to the developer-AI team. Technical backend names like “Metal PLM+HLL” and “WENO5+HLLD” were meaningless to experimentalists; they were replaced with intent-based labels (Quick, Standard, Detailed, High Accuracy, 3D, Reference) and a camera-zoom analogy explaining the fidelity tradeoff. Parameter tooltips, chart annotations, and error messages were all revised based on this feedback.</w:t>
      </w:r>
    </w:p>
    <w:p w14:paraId="3B5EB9CD" w14:textId="77777777" w:rsidR="00DC4616" w:rsidRDefault="00000000">
      <w:pPr>
        <w:spacing w:after="200" w:line="276" w:lineRule="auto"/>
      </w:pPr>
      <w:r>
        <w:t>The developer and the AI shared a common vocabulary and mental model that the domain user did not share, and this mismatch was discoverable only through direct testing. More broadly, the human role in AI-augmented development falls into four categories that AI cannot currently fulfill: physics judgment (is this result physically reasonable?), integration design (how should these modules couple?), user-centered design (is this interface usable by someone who is not the developer?), and ethical oversight (should this simulation capability exist and who should have access to it?). AI augments all four of these roles but replaces none of them.</w:t>
      </w:r>
    </w:p>
    <w:p w14:paraId="3C0AC85C" w14:textId="77777777" w:rsidR="00DC4616" w:rsidRDefault="00000000">
      <w:pPr>
        <w:pStyle w:val="Heading2"/>
      </w:pPr>
      <w:r>
        <w:t>10.9 Generalizing the Methodology to Other Domains</w:t>
      </w:r>
    </w:p>
    <w:p w14:paraId="04B557ED" w14:textId="77777777" w:rsidR="00DC4616" w:rsidRDefault="00000000">
      <w:pPr>
        <w:spacing w:after="200" w:line="276" w:lineRule="auto"/>
      </w:pPr>
      <w:r>
        <w:t>The AI-augmented development methodology demonstrated in this project is not specific to plasma physics. The fundamental pattern — literature synthesis through large context windows, grounded implementation through structured reference databases, iterative validation through autonomous testing, and multi-fidelity architecture through progressive complexity — transfers to any scientific domain where decades of published knowledge must be translated into working software. We outline how this methodology applies at four levels of research sophistication.</w:t>
      </w:r>
    </w:p>
    <w:p w14:paraId="3BFAE528" w14:textId="77777777" w:rsidR="00DC4616" w:rsidRDefault="00000000">
      <w:pPr>
        <w:pStyle w:val="Heading2"/>
        <w:spacing w:before="200" w:after="120"/>
      </w:pPr>
      <w:r>
        <w:rPr>
          <w:i/>
          <w:iCs/>
          <w:sz w:val="26"/>
          <w:szCs w:val="26"/>
        </w:rPr>
        <w:t>10.9.1 Undergraduate and Coursework Level</w:t>
      </w:r>
    </w:p>
    <w:p w14:paraId="23360301" w14:textId="77777777" w:rsidR="00DC4616" w:rsidRDefault="00000000">
      <w:pPr>
        <w:spacing w:after="200" w:line="276" w:lineRule="auto"/>
      </w:pPr>
      <w:r>
        <w:t>At the undergraduate level, the methodology’s primary value is as a learning accelerator. A student studying fluid dynamics can paste a textbook derivation into an AI context window and ask for a working Python implementation, producing an interactive simulation they can experiment with in minutes rather than weeks. The critical pedagogical constraint is that the student must understand the physics before using the AI to implement it; using AI to generate code for physics one does not understand produces the illusion of competence without the reality. The educational physics narrative in DPF-Unified demonstrates the correct pattern: the narrative teaches the physics, and the simulation demonstrates it. The AI generates both the narrative and the simulation, but the student learns from the narrative, not from the act of generation.</w:t>
      </w:r>
    </w:p>
    <w:p w14:paraId="6A1DFE2D" w14:textId="77777777" w:rsidR="00DC4616" w:rsidRDefault="00000000">
      <w:pPr>
        <w:pStyle w:val="Heading2"/>
        <w:spacing w:before="200" w:after="120"/>
      </w:pPr>
      <w:r>
        <w:rPr>
          <w:i/>
          <w:iCs/>
          <w:sz w:val="26"/>
          <w:szCs w:val="26"/>
        </w:rPr>
        <w:t>10.9.2 Graduate Research Level</w:t>
      </w:r>
    </w:p>
    <w:p w14:paraId="1BACE2C3" w14:textId="77777777" w:rsidR="00DC4616" w:rsidRDefault="00000000">
      <w:pPr>
        <w:spacing w:after="200" w:line="276" w:lineRule="auto"/>
      </w:pPr>
      <w:r>
        <w:t>At the graduate level, the methodology addresses the most common bottleneck in computational research: translating equations from papers into working code. A graduate student implementing a published numerical method can use AI with paper-in-context to generate a first implementation, then validate it against the paper’s published test results. The reference database pattern is particularly valuable here: building a structured database of the published parameters, experimental data, and validation benchmarks in one’s research area creates a reusable asset that grounds all subsequent AI interactions. This investment pays dividends throughout a graduate career and provides a foundation for collaborative work.</w:t>
      </w:r>
    </w:p>
    <w:p w14:paraId="52840138" w14:textId="77777777" w:rsidR="00DC4616" w:rsidRDefault="00000000">
      <w:pPr>
        <w:pStyle w:val="Heading2"/>
        <w:spacing w:before="200" w:after="120"/>
      </w:pPr>
      <w:r>
        <w:rPr>
          <w:i/>
          <w:iCs/>
          <w:sz w:val="26"/>
          <w:szCs w:val="26"/>
        </w:rPr>
        <w:t>10.9.3 Research Group Level</w:t>
      </w:r>
    </w:p>
    <w:p w14:paraId="2D2FABE5" w14:textId="77777777" w:rsidR="00DC4616" w:rsidRDefault="00000000">
      <w:pPr>
        <w:spacing w:after="200" w:line="276" w:lineRule="auto"/>
      </w:pPr>
      <w:r>
        <w:t>At the research group level, the multi-LLM routing strategy becomes essential for managing costs while maintaining quality. A principal investigator can define physics architecture decisions that require the most capable models, while delegating test generation, documentation, and boilerplate to economical models. The persistent memory pattern enables institutional knowledge management: observations, gotchas, and best practices discovered by any group member can be written to shared memory files that inform all subsequent AI sessions. The sprint chaining pattern enables autonomous implementation of well-specified tasks, freeing human researchers for the physics reasoning that AI cannot perform.</w:t>
      </w:r>
    </w:p>
    <w:p w14:paraId="18E22EE9" w14:textId="77777777" w:rsidR="00DC4616" w:rsidRDefault="00000000">
      <w:pPr>
        <w:pStyle w:val="Heading2"/>
        <w:spacing w:before="200" w:after="120"/>
      </w:pPr>
      <w:r>
        <w:rPr>
          <w:i/>
          <w:iCs/>
          <w:sz w:val="26"/>
          <w:szCs w:val="26"/>
        </w:rPr>
        <w:t>10.9.4 National Laboratory and HPC Level</w:t>
      </w:r>
    </w:p>
    <w:p w14:paraId="382E5565" w14:textId="77777777" w:rsidR="00DC4616" w:rsidRDefault="00000000">
      <w:pPr>
        <w:spacing w:after="200" w:line="276" w:lineRule="auto"/>
      </w:pPr>
      <w:r>
        <w:t>At the national laboratory level, the methodology integrates with emerging AI-HPC convergence platforms. The STELLAR-AI platform launched by Princeton Plasma Physics Laboratory in January 2026 pairs AI with high-performance computing specifically for fusion energy research, integrating CPUs, GPUs, and quantum processing units. The DOE’s Genesis Mission, launched by executive order in November 2025, uses AI to accelerate scientific discovery across national laboratories. DPF-</w:t>
      </w:r>
      <w:proofErr w:type="spellStart"/>
      <w:r>
        <w:t>Unified’s</w:t>
      </w:r>
      <w:proofErr w:type="spellEnd"/>
      <w:r>
        <w:t xml:space="preserve"> multi-fidelity architecture — where fast reduced-order models guide the selection of expensive HPC simulations — aligns directly with these institutional priorities. The AI-augmented methodology demonstrated here could be applied to any of the simulation codes maintained by national laboratories, using the structured reference database to ground AI implementations in the published literature specific to each code.</w:t>
      </w:r>
    </w:p>
    <w:p w14:paraId="648ED8BC" w14:textId="77777777" w:rsidR="00DC4616" w:rsidRDefault="00000000">
      <w:r>
        <w:br w:type="page"/>
      </w:r>
    </w:p>
    <w:p w14:paraId="571D845B" w14:textId="77777777" w:rsidR="00DC4616" w:rsidRDefault="00000000">
      <w:pPr>
        <w:pStyle w:val="Heading1"/>
      </w:pPr>
      <w:r>
        <w:t>11. Future Work and the Emerging AI-Science Ecosystem</w:t>
      </w:r>
    </w:p>
    <w:p w14:paraId="226B6BA8" w14:textId="77777777" w:rsidR="00DC4616" w:rsidRDefault="00000000">
      <w:pPr>
        <w:pStyle w:val="Heading2"/>
      </w:pPr>
      <w:r>
        <w:t>11.1 Physics Foundation Models</w:t>
      </w:r>
    </w:p>
    <w:p w14:paraId="0E0DC248" w14:textId="77777777" w:rsidR="00DC4616" w:rsidRDefault="00000000">
      <w:pPr>
        <w:spacing w:after="200" w:line="276" w:lineRule="auto"/>
      </w:pPr>
      <w:r>
        <w:t>The most promising development for the future of AI-augmented scientific simulation is the emergence of foundation models trained directly on physical systems rather than text. The Polymathic AI collaboration’s WALRUS model (1.3 billion parameters, MIT license) is trained on diverse simulation datasets from The Well benchmark collection and can transfer knowledge between different physical systems. A companion model, AION-1, extends this to astronomical datasets. These models learn the underlying dynamical principles common to fluid-like systems, enabling them to make predictions about systems they were not explicitly trained on. DPF-Unified already integrates WALRUS as a surrogate model backend; future work will fine-tune WALRUS on DPF-specific training data generated by the MHD solver, creating a fast neural surrogate that captures the spatial dynamics of the pinch without the computational cost of solving conservation laws.</w:t>
      </w:r>
    </w:p>
    <w:p w14:paraId="40E30B1D" w14:textId="77777777" w:rsidR="00DC4616" w:rsidRDefault="00000000">
      <w:pPr>
        <w:pStyle w:val="Heading2"/>
      </w:pPr>
      <w:r>
        <w:t>11.2 AI-HPC Convergence Platforms</w:t>
      </w:r>
    </w:p>
    <w:p w14:paraId="612E31E6" w14:textId="77777777" w:rsidR="00DC4616" w:rsidRDefault="00000000">
      <w:pPr>
        <w:spacing w:after="200" w:line="276" w:lineRule="auto"/>
      </w:pPr>
      <w:r>
        <w:t xml:space="preserve">The convergence of AI and high-performance computing is producing platforms specifically designed for AI-augmented scientific simulation. STELLAR-AI at Princeton Plasma Physics Laboratory integrates AI with HPC for fusion energy research. NVIDIA’s </w:t>
      </w:r>
      <w:proofErr w:type="spellStart"/>
      <w:r>
        <w:t>PhysicsNeMo</w:t>
      </w:r>
      <w:proofErr w:type="spellEnd"/>
      <w:r>
        <w:t xml:space="preserve"> framework applies AI to technology computer-aided design simulations, including computational fluid dynamics, molecular dynamics, and direct simulation Monte Carlo. MIT’s </w:t>
      </w:r>
      <w:proofErr w:type="spellStart"/>
      <w:r>
        <w:t>PhysiOpt</w:t>
      </w:r>
      <w:proofErr w:type="spellEnd"/>
      <w:r>
        <w:t xml:space="preserve"> system augments generative AI with physics simulations to produce designs that work when physically fabricated. These platforms point toward a future where the multi-fidelity architecture demonstrated in DPF-Unified is the standard paradigm: AI surrogate models provide fast parameter exploration, and physics-based solvers provide high-fidelity validation of the most promising configurations.</w:t>
      </w:r>
    </w:p>
    <w:p w14:paraId="443D20A4" w14:textId="77777777" w:rsidR="00DC4616" w:rsidRDefault="00000000">
      <w:pPr>
        <w:pStyle w:val="Heading2"/>
      </w:pPr>
      <w:r>
        <w:t>11.3 Agentic Development Workflows</w:t>
      </w:r>
    </w:p>
    <w:p w14:paraId="781A167B" w14:textId="77777777" w:rsidR="00DC4616" w:rsidRDefault="00000000">
      <w:pPr>
        <w:spacing w:after="200" w:line="276" w:lineRule="auto"/>
      </w:pPr>
      <w:r>
        <w:t xml:space="preserve">The autonomous development capability demonstrated in Phase IV of this project is part of a broader trend toward agentic AI workflows in software development. </w:t>
      </w:r>
      <w:proofErr w:type="spellStart"/>
      <w:r>
        <w:t>Anthropic’s</w:t>
      </w:r>
      <w:proofErr w:type="spellEnd"/>
      <w:r>
        <w:t xml:space="preserve"> 2026 Agentic Coding Trends Report documents the rapid adoption of coding agents that can read codebases, write implementations, execute tests, and iterate autonomously. These workflows are being adopted across the software industry, with the critical distinction that scientific applications require domain-specific validation that general-purpose agents cannot provide. Future work will develop DPF-specific validation agents that automatically check new implementations against published experimental data, conservation laws, and known benchmark solutions.</w:t>
      </w:r>
    </w:p>
    <w:p w14:paraId="1BDD63E6" w14:textId="77777777" w:rsidR="00DC4616" w:rsidRDefault="00000000">
      <w:pPr>
        <w:pStyle w:val="Heading2"/>
      </w:pPr>
      <w:r>
        <w:t>11.4 Reproducibility and Governance</w:t>
      </w:r>
    </w:p>
    <w:p w14:paraId="174E21BC" w14:textId="77777777" w:rsidR="00DC4616" w:rsidRDefault="00000000">
      <w:pPr>
        <w:spacing w:after="200" w:line="276" w:lineRule="auto"/>
      </w:pPr>
      <w:r>
        <w:t>A Frontiers in Physics review (2025) identifies reproducibility as the central challenge for AI-augmented scientific software. The review argues that reproducibility must be embedded by design through containerization, workflow automation, and metadata-rich logging, and that AI models used in scientific software must be continuously validated as data or conditions shift. DPF-Unified addresses this partially through git commit hashes in simulation outputs and the structured reference database; future work will implement full provenance tracking that records which AI model, which version of the reference database, and which prompt produced each line of code.</w:t>
      </w:r>
    </w:p>
    <w:p w14:paraId="2B70DF19" w14:textId="77777777" w:rsidR="00DC4616" w:rsidRDefault="00000000">
      <w:pPr>
        <w:spacing w:after="200" w:line="276" w:lineRule="auto"/>
      </w:pPr>
      <w:r>
        <w:t>The European Union’s AI Act, with most high-risk obligations phasing in by August 2026, will require technical documentation, data governance, human oversight, robustness testing, and post-market monitoring for AI systems used in scientific research. While DPF-Unified is an open-source research tool rather than a commercial product, aligning with these governance principles strengthens the scientific credibility of AI-augmented development methodology.</w:t>
      </w:r>
    </w:p>
    <w:p w14:paraId="242B8598" w14:textId="77777777" w:rsidR="00DC4616" w:rsidRDefault="00000000">
      <w:pPr>
        <w:pStyle w:val="Heading2"/>
      </w:pPr>
      <w:r>
        <w:t>11.5 Addressing the “Almost Right” Problem</w:t>
      </w:r>
    </w:p>
    <w:p w14:paraId="34B0E4F2" w14:textId="77777777" w:rsidR="00DC4616" w:rsidRDefault="00000000">
      <w:pPr>
        <w:spacing w:after="200" w:line="276" w:lineRule="auto"/>
      </w:pPr>
      <w:r>
        <w:t>Industry analysis of AI-assisted development in 2026 has identified what practitioners call the “Almost Right” problem: AI-generated code that passes superficial review but contains subtle errors discoverable only through deep domain expertise. One study reported that code review times increased by 91 percent in 2025 as senior engineers struggled to verify the correctness of large volumes of AI-generated code. In scientific computing, the “Almost Right” problem is particularly dangerous because numerical code can produce outputs that look physically reasonable while being subtly wrong — as our one-way coupling defect demonstrated.</w:t>
      </w:r>
    </w:p>
    <w:p w14:paraId="014BF1C2" w14:textId="77777777" w:rsidR="00DC4616" w:rsidRDefault="00000000">
      <w:pPr>
        <w:spacing w:after="200" w:line="276" w:lineRule="auto"/>
      </w:pPr>
      <w:r>
        <w:t>Future work must develop automated validation tools that go beyond unit tests to assess physical correctness: conservation law verification (does mass, momentum, and energy remain constant in closed systems?), symmetry checking (does the solution respect the symmetries of the initial conditions?), convergence testing (does the error decrease at the expected rate with grid refinement?), and benchmark comparison (does the code reproduce published results for canonical test problems?). These physics-aware validation tools, themselves potentially AI-augmented, are the missing link between AI code generation and trustworthy scientific simulation.</w:t>
      </w:r>
    </w:p>
    <w:p w14:paraId="59864AC9" w14:textId="77777777" w:rsidR="00DC4616" w:rsidRDefault="00000000">
      <w:pPr>
        <w:pStyle w:val="Heading2"/>
      </w:pPr>
      <w:r>
        <w:t>11.6 Toward Hybrid Architectures Beyond Transformers</w:t>
      </w:r>
    </w:p>
    <w:p w14:paraId="0FEFDA6A" w14:textId="77777777" w:rsidR="00DC4616" w:rsidRDefault="00000000">
      <w:pPr>
        <w:spacing w:after="200" w:line="276" w:lineRule="auto"/>
      </w:pPr>
      <w:r>
        <w:t>The transformer architecture that underlies all models used in this project is not the final word in AI for scientific computing. Non-transformer architectures, particularly state-space models such as Mamba (Gu &amp; Dao, 2023), have reached parity with transformers on key language benchmarks while offering linear rather than quadratic scaling in sequence length. Hybrid architectures such as Jamba interleave transformer layers with state-space layers and mixture-of-experts routing, achieving 256K token context windows on a single GPU. For scientific applications requiring very long contexts — such as holding an entire codebase plus multiple reference papers simultaneously — these architectures may prove superior to pure transformers.</w:t>
      </w:r>
    </w:p>
    <w:p w14:paraId="7F9AC7D5" w14:textId="77777777" w:rsidR="00DC4616" w:rsidRDefault="00000000">
      <w:pPr>
        <w:spacing w:after="200" w:line="276" w:lineRule="auto"/>
      </w:pPr>
      <w:r>
        <w:t>More fundamentally, the limitations we encountered with next-token prediction for physics reasoning may be addressable through architectures that incorporate explicit world models or physics-informed inductive biases. Physics-informed neural networks (</w:t>
      </w:r>
      <w:proofErr w:type="spellStart"/>
      <w:r>
        <w:t>Raissi</w:t>
      </w:r>
      <w:proofErr w:type="spellEnd"/>
      <w:r>
        <w:t xml:space="preserve"> et al., 2019) embed governing equations as constraints; extending this principle to code-generating models — where the model is penalized for generating code that violates conservation laws or produces unphysical outputs — would address the hallucination and coupling defect problems at the architectural level rather than through post-hoc validation.</w:t>
      </w:r>
    </w:p>
    <w:p w14:paraId="6FF1207A" w14:textId="77777777" w:rsidR="00DC4616" w:rsidRDefault="00000000">
      <w:pPr>
        <w:pStyle w:val="Heading2"/>
      </w:pPr>
      <w:r>
        <w:t>11.7 Specific Technical Priorities for DPF-Unified</w:t>
      </w:r>
    </w:p>
    <w:p w14:paraId="1077C9F5" w14:textId="77777777" w:rsidR="00DC4616" w:rsidRDefault="00000000">
      <w:pPr>
        <w:spacing w:after="200" w:line="276" w:lineRule="auto"/>
      </w:pPr>
      <w:r>
        <w:t xml:space="preserve">The project itself requires continued development in several areas. First, consolidation of the reduced-order simulator through additional Filipov-type device presets, an expanded published parameter database, and improved automatic fitting of fc and </w:t>
      </w:r>
      <w:proofErr w:type="spellStart"/>
      <w:r>
        <w:t>fm</w:t>
      </w:r>
      <w:proofErr w:type="spellEnd"/>
      <w:r>
        <w:t xml:space="preserve"> to experimental current waveforms. Second, high-resolution MHD validation through systematic convergence studies on grids of 128×128 and finer, validated against both Athena++ and published experimental measurements. Third, self-consistent radiation transport integration in the pinch energy balance using flux-limited diffusion or Monte Carlo methods. Fourth, WALRUS fine-tuning on DPF-specific training data for fast neural surrogate predictions. Fifth, community engagement to obtain experimental current waveforms, neutron yield measurements, and interferometric data for validation. Sixth, integration with national-laboratory-scale AI-HPC platforms such as STELLAR-AI for high-fidelity PIC simulations that exceed the capability of consumer hardware.</w:t>
      </w:r>
    </w:p>
    <w:p w14:paraId="5E8B6331" w14:textId="77777777" w:rsidR="00DC4616" w:rsidRDefault="00000000">
      <w:r>
        <w:br w:type="page"/>
      </w:r>
    </w:p>
    <w:p w14:paraId="24692891" w14:textId="77777777" w:rsidR="00DC4616" w:rsidRDefault="00000000">
      <w:pPr>
        <w:pStyle w:val="Heading1"/>
      </w:pPr>
      <w:r>
        <w:t>12. Conclusion</w:t>
      </w:r>
    </w:p>
    <w:p w14:paraId="71460D60" w14:textId="77777777" w:rsidR="00DC4616" w:rsidRDefault="00000000">
      <w:pPr>
        <w:spacing w:after="200" w:line="276" w:lineRule="auto"/>
      </w:pPr>
      <w:r>
        <w:t>This paper has presented a longitudinal account of the iterative development of DPF-Unified, a multi-physics Dense Plasma Focus simulator built through AI-augmented methodology across four architectural epochs and three generations of large language models. The work documents not only the final system but the failures that informed its design: the linear agent pipeline that could not handle coupled physics, the bidirectional coupling that produced numerical instability, the HPC architecture that was correct but impractical, and the one-way circuit-MHD coupling that was individually correct but physically incomplete.</w:t>
      </w:r>
    </w:p>
    <w:p w14:paraId="277C1FC0" w14:textId="77777777" w:rsidR="00DC4616" w:rsidRDefault="00000000">
      <w:pPr>
        <w:spacing w:after="200" w:line="276" w:lineRule="auto"/>
      </w:pPr>
      <w:r>
        <w:t>The key finding is that AI’s value in scientific software development lies not in replacing human physics expertise but in accelerating the translation of published physics into working, tested, validated code. The DPF community has accumulated sixty years of experimental measurements, analytical models, fitted parameters, and physical insights scattered across hundreds of papers. Large language models with expanded context windows and grounding in structured reference databases can ingest this corpus, cross-reference parameters, implement equations, write tests, and produce working code at a pace that would be impractical for a solo developer.</w:t>
      </w:r>
    </w:p>
    <w:p w14:paraId="5FDAD699" w14:textId="77777777" w:rsidR="00DC4616" w:rsidRDefault="00000000">
      <w:pPr>
        <w:spacing w:after="200" w:line="276" w:lineRule="auto"/>
      </w:pPr>
      <w:r>
        <w:t>The theoretical analysis in Section 10 demonstrates that the specific failure modes we encountered — hallucination of physical constants, one-way coupling defects, loss of architectural coherence in long sessions — are predictable consequences of the transformer architecture’s autoregressive next-token prediction objective, compounding error properties, and attention degradation in long contexts. Understanding these mechanisms enables practitioners in any scientific domain to anticipate and mitigate the same failure modes through structured reference databases, physics-aware validation tools, and persistent memory systems.</w:t>
      </w:r>
    </w:p>
    <w:p w14:paraId="6967A138" w14:textId="77777777" w:rsidR="00DC4616" w:rsidRDefault="00000000">
      <w:pPr>
        <w:spacing w:after="200" w:line="276" w:lineRule="auto"/>
      </w:pPr>
      <w:r>
        <w:t>Consumer hardware is now sufficient for DPF simulation that previously required high-performance computing clusters. An Apple Silicon laptop can run a 2D axisymmetric MHD simulation of a PF-1000 discharge in under a minute and a 3D simulation resolving azimuthal structure in under ten minutes. The computational barrier to entry for DPF simulation has been reduced from “access to an HPC cluster with specialized software” to “install Python on any modern laptop.”</w:t>
      </w:r>
    </w:p>
    <w:p w14:paraId="47A0C1ED" w14:textId="77777777" w:rsidR="00DC4616" w:rsidRDefault="00000000">
      <w:pPr>
        <w:spacing w:after="200" w:line="276" w:lineRule="auto"/>
      </w:pPr>
      <w:r>
        <w:t>The emerging AI-science ecosystem — physics foundation models such as WALRUS and AION-1, AI-HPC convergence platforms such as STELLAR-AI, agentic development workflows, and hybrid transformer-state-space architectures — will further accelerate the methodology demonstrated here. The iterative development arc traced in this paper, from conversational prototyping through architectural failure through autonomous code generation, demonstrates that AI-augmented scientific software development is a process of discovering, through sustained effort and honest failure analysis, what the AI can and cannot contribute to each stage of the scientific workflow. The human physicist defines the physics. The AI translates it into code. The combination produces simulation tools that neither could build alone, accessible to researchers at any level, on hardware that any student can afford.</w:t>
      </w:r>
    </w:p>
    <w:p w14:paraId="7D3C801A" w14:textId="77777777" w:rsidR="00DC4616" w:rsidRDefault="00000000">
      <w:r>
        <w:br w:type="page"/>
      </w:r>
    </w:p>
    <w:p w14:paraId="150B71F0" w14:textId="77777777" w:rsidR="00DC4616" w:rsidRDefault="00000000">
      <w:pPr>
        <w:pStyle w:val="Heading1"/>
      </w:pPr>
      <w:r>
        <w:t>References</w:t>
      </w:r>
    </w:p>
    <w:p w14:paraId="731ECDD7" w14:textId="77777777" w:rsidR="00DC4616" w:rsidRDefault="00000000">
      <w:pPr>
        <w:spacing w:after="120" w:line="276" w:lineRule="auto"/>
        <w:ind w:left="720" w:hanging="720"/>
      </w:pPr>
      <w:r>
        <w:rPr>
          <w:sz w:val="22"/>
          <w:szCs w:val="22"/>
        </w:rPr>
        <w:t>Anthropic. (2026). 2026 Agentic Coding Trends Report: How coding agents are reshaping software development. Anthropic Resources.</w:t>
      </w:r>
    </w:p>
    <w:p w14:paraId="7FCBA025" w14:textId="77777777" w:rsidR="00DC4616" w:rsidRDefault="00000000">
      <w:pPr>
        <w:spacing w:after="120" w:line="276" w:lineRule="auto"/>
        <w:ind w:left="720" w:hanging="720"/>
      </w:pPr>
      <w:r>
        <w:rPr>
          <w:sz w:val="22"/>
          <w:szCs w:val="22"/>
        </w:rPr>
        <w:t>Borges, R., Carmona, M., Costa, B., &amp; Don, W. S. (2008). An improved weighted essentially non-oscillatory scheme for hyperbolic conservation laws. Journal of Computational Physics, 227(6), 3191–3211.</w:t>
      </w:r>
    </w:p>
    <w:p w14:paraId="41CBB2FD" w14:textId="77777777" w:rsidR="00DC4616" w:rsidRDefault="00000000">
      <w:pPr>
        <w:spacing w:after="120" w:line="276" w:lineRule="auto"/>
        <w:ind w:left="720" w:hanging="720"/>
      </w:pPr>
      <w:r>
        <w:rPr>
          <w:sz w:val="22"/>
          <w:szCs w:val="22"/>
        </w:rPr>
        <w:t>Bosch, H. S., &amp; Hale, G. M. (1992). Improved formulas for fusion cross-sections and thermal reactivities. Nuclear Fusion, 32(4), 611–631.</w:t>
      </w:r>
    </w:p>
    <w:p w14:paraId="3E9E5E04" w14:textId="77777777" w:rsidR="00DC4616" w:rsidRDefault="00000000">
      <w:pPr>
        <w:spacing w:after="120" w:line="276" w:lineRule="auto"/>
        <w:ind w:left="720" w:hanging="720"/>
      </w:pPr>
      <w:r>
        <w:rPr>
          <w:sz w:val="22"/>
          <w:szCs w:val="22"/>
        </w:rPr>
        <w:t>Brown, T. B., Mann, B., Ryder, N., Subbiah, M., Kaplan, J., Dhariwal, P., ... &amp; Amodei, D. (2020). Language models are few-shot learners. Advances in Neural Information Processing Systems, 33, 1877–1901.</w:t>
      </w:r>
    </w:p>
    <w:p w14:paraId="5C898B94" w14:textId="77777777" w:rsidR="00DC4616" w:rsidRDefault="00000000">
      <w:pPr>
        <w:spacing w:after="120" w:line="276" w:lineRule="auto"/>
        <w:ind w:left="720" w:hanging="720"/>
      </w:pPr>
      <w:r>
        <w:rPr>
          <w:sz w:val="22"/>
          <w:szCs w:val="22"/>
        </w:rPr>
        <w:t xml:space="preserve">Chen, M., Tworek, J., Jun, H., Yuan, Q., Pinto, H. P. de O., Kaplan, J., ... &amp; Zaremba, W. (2021). Evaluating large language models trained on code. </w:t>
      </w:r>
      <w:proofErr w:type="spellStart"/>
      <w:r>
        <w:rPr>
          <w:sz w:val="22"/>
          <w:szCs w:val="22"/>
        </w:rPr>
        <w:t>arXiv</w:t>
      </w:r>
      <w:proofErr w:type="spellEnd"/>
      <w:r>
        <w:rPr>
          <w:sz w:val="22"/>
          <w:szCs w:val="22"/>
        </w:rPr>
        <w:t xml:space="preserve"> preprint arXiv:2107.03374.</w:t>
      </w:r>
    </w:p>
    <w:p w14:paraId="23BC9B96" w14:textId="77777777" w:rsidR="00DC4616" w:rsidRDefault="00000000">
      <w:pPr>
        <w:spacing w:after="120" w:line="276" w:lineRule="auto"/>
        <w:ind w:left="720" w:hanging="720"/>
      </w:pPr>
      <w:proofErr w:type="spellStart"/>
      <w:r>
        <w:rPr>
          <w:sz w:val="22"/>
          <w:szCs w:val="22"/>
        </w:rPr>
        <w:t>Damideh</w:t>
      </w:r>
      <w:proofErr w:type="spellEnd"/>
      <w:r>
        <w:rPr>
          <w:sz w:val="22"/>
          <w:szCs w:val="22"/>
        </w:rPr>
        <w:t xml:space="preserve">, V., et al. (2025). </w:t>
      </w:r>
      <w:proofErr w:type="spellStart"/>
      <w:r>
        <w:rPr>
          <w:sz w:val="22"/>
          <w:szCs w:val="22"/>
        </w:rPr>
        <w:t>Faeton</w:t>
      </w:r>
      <w:proofErr w:type="spellEnd"/>
      <w:r>
        <w:rPr>
          <w:sz w:val="22"/>
          <w:szCs w:val="22"/>
        </w:rPr>
        <w:t>-I dense plasma focus characterization. Journal of Physics D: Applied Physics.</w:t>
      </w:r>
    </w:p>
    <w:p w14:paraId="15A995C6" w14:textId="77777777" w:rsidR="00DC4616" w:rsidRDefault="00000000">
      <w:pPr>
        <w:spacing w:after="120" w:line="276" w:lineRule="auto"/>
        <w:ind w:left="720" w:hanging="720"/>
      </w:pPr>
      <w:r>
        <w:rPr>
          <w:sz w:val="22"/>
          <w:szCs w:val="22"/>
        </w:rPr>
        <w:t>Deutsch, R., &amp; Kies, W. (1988). Plasma dynamics and neutron production in a 4-kJ dense plasma focus. Physical Review A, 37(6), 2171.</w:t>
      </w:r>
    </w:p>
    <w:p w14:paraId="25E37CF6" w14:textId="77777777" w:rsidR="00DC4616" w:rsidRDefault="00000000">
      <w:pPr>
        <w:spacing w:after="120" w:line="276" w:lineRule="auto"/>
        <w:ind w:left="720" w:hanging="720"/>
      </w:pPr>
      <w:r>
        <w:rPr>
          <w:sz w:val="22"/>
          <w:szCs w:val="22"/>
        </w:rPr>
        <w:t>Filipov, N. V., Filippova, T. I., &amp; Vinogradov, V. P. (1962). Dense high-temperature plasma in a non-cylindrical Z-pinch compression. Nuclear Fusion Supplement, 2, 577–587.</w:t>
      </w:r>
    </w:p>
    <w:p w14:paraId="233DAD67" w14:textId="77777777" w:rsidR="00DC4616" w:rsidRDefault="00000000">
      <w:pPr>
        <w:spacing w:after="120" w:line="276" w:lineRule="auto"/>
        <w:ind w:left="720" w:hanging="720"/>
      </w:pPr>
      <w:r>
        <w:rPr>
          <w:sz w:val="22"/>
          <w:szCs w:val="22"/>
        </w:rPr>
        <w:t xml:space="preserve">Frontiers in Physics. (2025). Scientific software development in the AI era: Reproducibility, </w:t>
      </w:r>
      <w:proofErr w:type="spellStart"/>
      <w:r>
        <w:rPr>
          <w:sz w:val="22"/>
          <w:szCs w:val="22"/>
        </w:rPr>
        <w:t>MLOps</w:t>
      </w:r>
      <w:proofErr w:type="spellEnd"/>
      <w:r>
        <w:rPr>
          <w:sz w:val="22"/>
          <w:szCs w:val="22"/>
        </w:rPr>
        <w:t>, and applications in soft matter physics. Frontiers in Physics, 13, 1711356.</w:t>
      </w:r>
    </w:p>
    <w:p w14:paraId="10321F90" w14:textId="77777777" w:rsidR="00DC4616" w:rsidRDefault="00000000">
      <w:pPr>
        <w:spacing w:after="120" w:line="276" w:lineRule="auto"/>
        <w:ind w:left="720" w:hanging="720"/>
      </w:pPr>
      <w:proofErr w:type="spellStart"/>
      <w:r>
        <w:rPr>
          <w:sz w:val="22"/>
          <w:szCs w:val="22"/>
        </w:rPr>
        <w:t>Goyon</w:t>
      </w:r>
      <w:proofErr w:type="spellEnd"/>
      <w:r>
        <w:rPr>
          <w:sz w:val="22"/>
          <w:szCs w:val="22"/>
        </w:rPr>
        <w:t>, C., et al. (2025). Instability timing parameter for dense plasma focus devices. Physics of Plasmas.</w:t>
      </w:r>
    </w:p>
    <w:p w14:paraId="6DF1944D" w14:textId="77777777" w:rsidR="00DC4616" w:rsidRDefault="00000000">
      <w:pPr>
        <w:spacing w:after="120" w:line="276" w:lineRule="auto"/>
        <w:ind w:left="720" w:hanging="720"/>
      </w:pPr>
      <w:r>
        <w:rPr>
          <w:sz w:val="22"/>
          <w:szCs w:val="22"/>
        </w:rPr>
        <w:t xml:space="preserve">Gu, A., &amp; Dao, T. (2023). Mamba: Linear-time sequence modeling with selective state spaces. </w:t>
      </w:r>
      <w:proofErr w:type="spellStart"/>
      <w:r>
        <w:rPr>
          <w:sz w:val="22"/>
          <w:szCs w:val="22"/>
        </w:rPr>
        <w:t>arXiv</w:t>
      </w:r>
      <w:proofErr w:type="spellEnd"/>
      <w:r>
        <w:rPr>
          <w:sz w:val="22"/>
          <w:szCs w:val="22"/>
        </w:rPr>
        <w:t xml:space="preserve"> preprint arXiv:2312.00752.</w:t>
      </w:r>
    </w:p>
    <w:p w14:paraId="67D348A1" w14:textId="77777777" w:rsidR="00DC4616" w:rsidRDefault="00000000">
      <w:pPr>
        <w:spacing w:after="120" w:line="276" w:lineRule="auto"/>
        <w:ind w:left="720" w:hanging="720"/>
      </w:pPr>
      <w:r>
        <w:rPr>
          <w:sz w:val="22"/>
          <w:szCs w:val="22"/>
        </w:rPr>
        <w:t>Haines, M. G., et al. (2011). Ion acceleration and neutron production in dense plasma focus. Plasma Physics and Controlled Fusion, 53(9), 093001.</w:t>
      </w:r>
    </w:p>
    <w:p w14:paraId="2F962FAA" w14:textId="77777777" w:rsidR="00DC4616" w:rsidRDefault="00000000">
      <w:pPr>
        <w:spacing w:after="120" w:line="276" w:lineRule="auto"/>
        <w:ind w:left="720" w:hanging="720"/>
      </w:pPr>
      <w:r>
        <w:rPr>
          <w:sz w:val="22"/>
          <w:szCs w:val="22"/>
        </w:rPr>
        <w:t>Hebb, D. O. (1949). The Organization of Behavior: A Neuropsychological Theory. Wiley &amp; Sons.</w:t>
      </w:r>
    </w:p>
    <w:p w14:paraId="2FAF6B2B" w14:textId="77777777" w:rsidR="00DC4616" w:rsidRDefault="00000000">
      <w:pPr>
        <w:spacing w:after="120" w:line="276" w:lineRule="auto"/>
        <w:ind w:left="720" w:hanging="720"/>
      </w:pPr>
      <w:r>
        <w:rPr>
          <w:sz w:val="22"/>
          <w:szCs w:val="22"/>
        </w:rPr>
        <w:t>Herold, H., et al. (1989). Investigation of the neutron production mechanism in a dense plasma focus. Nuclear Fusion, 29(8), 1255.</w:t>
      </w:r>
    </w:p>
    <w:p w14:paraId="77AF255D" w14:textId="77777777" w:rsidR="00DC4616" w:rsidRDefault="00000000">
      <w:pPr>
        <w:spacing w:after="120" w:line="276" w:lineRule="auto"/>
        <w:ind w:left="720" w:hanging="720"/>
      </w:pPr>
      <w:r>
        <w:rPr>
          <w:sz w:val="22"/>
          <w:szCs w:val="22"/>
        </w:rPr>
        <w:t xml:space="preserve">Hochreiter, S., &amp; </w:t>
      </w:r>
      <w:proofErr w:type="spellStart"/>
      <w:r>
        <w:rPr>
          <w:sz w:val="22"/>
          <w:szCs w:val="22"/>
        </w:rPr>
        <w:t>Schmidhuber</w:t>
      </w:r>
      <w:proofErr w:type="spellEnd"/>
      <w:r>
        <w:rPr>
          <w:sz w:val="22"/>
          <w:szCs w:val="22"/>
        </w:rPr>
        <w:t>, J. (1997). Long short-term memory. Neural Computation, 9(8), 1735–1780.</w:t>
      </w:r>
    </w:p>
    <w:p w14:paraId="15394B56" w14:textId="77777777" w:rsidR="00DC4616" w:rsidRDefault="00000000">
      <w:pPr>
        <w:spacing w:after="120" w:line="276" w:lineRule="auto"/>
        <w:ind w:left="720" w:hanging="720"/>
      </w:pPr>
      <w:r>
        <w:rPr>
          <w:sz w:val="22"/>
          <w:szCs w:val="22"/>
        </w:rPr>
        <w:t>Huang, L., Yu, W., Ma, W., Zhong, W., Feng, Z., Wang, H., ... &amp; Liu, T. (2025). A survey on hallucination in large language models: Principles, taxonomy, challenges, and open questions. ACM Computing Surveys.</w:t>
      </w:r>
    </w:p>
    <w:p w14:paraId="520BE0F5" w14:textId="77777777" w:rsidR="00DC4616" w:rsidRDefault="00000000">
      <w:pPr>
        <w:spacing w:after="120" w:line="276" w:lineRule="auto"/>
        <w:ind w:left="720" w:hanging="720"/>
      </w:pPr>
      <w:r>
        <w:rPr>
          <w:sz w:val="22"/>
          <w:szCs w:val="22"/>
        </w:rPr>
        <w:t>Kasim, M. F., et al. (2022). Building high accuracy emulators for scientific simulations with deep neural architecture search. Machine Learning: Science and Technology, 3(1), 015013.</w:t>
      </w:r>
    </w:p>
    <w:p w14:paraId="2CC1F21E" w14:textId="77777777" w:rsidR="00DC4616" w:rsidRDefault="00000000">
      <w:pPr>
        <w:spacing w:after="120" w:line="276" w:lineRule="auto"/>
        <w:ind w:left="720" w:hanging="720"/>
      </w:pPr>
      <w:r>
        <w:rPr>
          <w:sz w:val="22"/>
          <w:szCs w:val="22"/>
        </w:rPr>
        <w:t>Krishnan, M. (2012). The Dense Plasma Focus: A versatile dense pinch for diverse applications. IEEE Transactions on Plasma Science, 40(12), 3189–3221.</w:t>
      </w:r>
    </w:p>
    <w:p w14:paraId="27723DF2" w14:textId="77777777" w:rsidR="00DC4616" w:rsidRDefault="00000000">
      <w:pPr>
        <w:spacing w:after="120" w:line="276" w:lineRule="auto"/>
        <w:ind w:left="720" w:hanging="720"/>
      </w:pPr>
      <w:r>
        <w:rPr>
          <w:sz w:val="22"/>
          <w:szCs w:val="22"/>
        </w:rPr>
        <w:t xml:space="preserve">Krizhevsky, A., </w:t>
      </w:r>
      <w:proofErr w:type="spellStart"/>
      <w:r>
        <w:rPr>
          <w:sz w:val="22"/>
          <w:szCs w:val="22"/>
        </w:rPr>
        <w:t>Sutskever</w:t>
      </w:r>
      <w:proofErr w:type="spellEnd"/>
      <w:r>
        <w:rPr>
          <w:sz w:val="22"/>
          <w:szCs w:val="22"/>
        </w:rPr>
        <w:t>, I., &amp; Hinton, G. E. (2012). ImageNet classification with deep convolutional neural networks. Advances in Neural Information Processing Systems, 25.</w:t>
      </w:r>
    </w:p>
    <w:p w14:paraId="64BF269B" w14:textId="77777777" w:rsidR="00DC4616" w:rsidRDefault="00000000">
      <w:pPr>
        <w:spacing w:after="120" w:line="276" w:lineRule="auto"/>
        <w:ind w:left="720" w:hanging="720"/>
      </w:pPr>
      <w:r>
        <w:rPr>
          <w:sz w:val="22"/>
          <w:szCs w:val="22"/>
        </w:rPr>
        <w:t xml:space="preserve">LeCun, Y., </w:t>
      </w:r>
      <w:proofErr w:type="spellStart"/>
      <w:r>
        <w:rPr>
          <w:sz w:val="22"/>
          <w:szCs w:val="22"/>
        </w:rPr>
        <w:t>Bottou</w:t>
      </w:r>
      <w:proofErr w:type="spellEnd"/>
      <w:r>
        <w:rPr>
          <w:sz w:val="22"/>
          <w:szCs w:val="22"/>
        </w:rPr>
        <w:t>, L., Bengio, Y., &amp; Haffner, P. (1998). Gradient-based learning applied to document recognition. Proceedings of the IEEE, 86(11), 2278–2324.</w:t>
      </w:r>
    </w:p>
    <w:p w14:paraId="14390345" w14:textId="77777777" w:rsidR="00DC4616" w:rsidRDefault="00000000">
      <w:pPr>
        <w:spacing w:after="120" w:line="276" w:lineRule="auto"/>
        <w:ind w:left="720" w:hanging="720"/>
      </w:pPr>
      <w:r>
        <w:rPr>
          <w:sz w:val="22"/>
          <w:szCs w:val="22"/>
        </w:rPr>
        <w:t>Lee, S. (1984). Plasma Focus Model yielding trajectory and structure. In Radiations in Plasmas, Vol. II (pp. 978–987). World Scientific.</w:t>
      </w:r>
    </w:p>
    <w:p w14:paraId="6A3F2450" w14:textId="77777777" w:rsidR="00DC4616" w:rsidRDefault="00000000">
      <w:pPr>
        <w:spacing w:after="120" w:line="276" w:lineRule="auto"/>
        <w:ind w:left="720" w:hanging="720"/>
      </w:pPr>
      <w:r>
        <w:rPr>
          <w:sz w:val="22"/>
          <w:szCs w:val="22"/>
        </w:rPr>
        <w:t>Lee, S. (2008). Radiative dense plasma focus computation package: RADPF. Institute for Plasma Focus Studies.</w:t>
      </w:r>
    </w:p>
    <w:p w14:paraId="1360FE63" w14:textId="77777777" w:rsidR="00DC4616" w:rsidRDefault="00000000">
      <w:pPr>
        <w:spacing w:after="120" w:line="276" w:lineRule="auto"/>
        <w:ind w:left="720" w:hanging="720"/>
      </w:pPr>
      <w:r>
        <w:rPr>
          <w:sz w:val="22"/>
          <w:szCs w:val="22"/>
        </w:rPr>
        <w:t xml:space="preserve">Lee, S. (2014). Plasma </w:t>
      </w:r>
      <w:proofErr w:type="gramStart"/>
      <w:r>
        <w:rPr>
          <w:sz w:val="22"/>
          <w:szCs w:val="22"/>
        </w:rPr>
        <w:t>focus</w:t>
      </w:r>
      <w:proofErr w:type="gramEnd"/>
      <w:r>
        <w:rPr>
          <w:sz w:val="22"/>
          <w:szCs w:val="22"/>
        </w:rPr>
        <w:t xml:space="preserve"> radiative model: Review of the Lee model code. Journal of Fusion Energy, 33(4), 319–335.</w:t>
      </w:r>
    </w:p>
    <w:p w14:paraId="0B0BCFF8" w14:textId="77777777" w:rsidR="00DC4616" w:rsidRDefault="00000000">
      <w:pPr>
        <w:spacing w:after="120" w:line="276" w:lineRule="auto"/>
        <w:ind w:left="720" w:hanging="720"/>
      </w:pPr>
      <w:r>
        <w:rPr>
          <w:sz w:val="22"/>
          <w:szCs w:val="22"/>
        </w:rPr>
        <w:t>Lee, S., &amp; Saw, S. H. (2014). Plasma focus ion beam fluence and flux for various gases. Physics of Plasmas, 21(7), 072501.</w:t>
      </w:r>
    </w:p>
    <w:p w14:paraId="5F3612D1" w14:textId="77777777" w:rsidR="00DC4616" w:rsidRDefault="00000000">
      <w:pPr>
        <w:spacing w:after="120" w:line="276" w:lineRule="auto"/>
        <w:ind w:left="720" w:hanging="720"/>
      </w:pPr>
      <w:r>
        <w:rPr>
          <w:sz w:val="22"/>
          <w:szCs w:val="22"/>
        </w:rPr>
        <w:t>Lee, S., et al. (1988). A simple facility for the teaching of plasma dynamics and plasma nuclear fusion. American Journal of Physics, 56(1), 62–68.</w:t>
      </w:r>
    </w:p>
    <w:p w14:paraId="387CBED5" w14:textId="77777777" w:rsidR="00DC4616" w:rsidRDefault="00000000">
      <w:pPr>
        <w:spacing w:after="120" w:line="276" w:lineRule="auto"/>
        <w:ind w:left="720" w:hanging="720"/>
      </w:pPr>
      <w:r>
        <w:rPr>
          <w:sz w:val="22"/>
          <w:szCs w:val="22"/>
        </w:rPr>
        <w:t>Liu, N. F., Lin, K., Hewitt, J., Paranjape, A., Bevilacqua, M., Petroni, F., &amp; Liang, P. (2024). Lost in the middle: How language models use long contexts. Transactions of the Association for Computational Linguistics, 12, 157–173.</w:t>
      </w:r>
    </w:p>
    <w:p w14:paraId="24B1C23B" w14:textId="77777777" w:rsidR="00DC4616" w:rsidRDefault="00000000">
      <w:pPr>
        <w:spacing w:after="120" w:line="276" w:lineRule="auto"/>
        <w:ind w:left="720" w:hanging="720"/>
      </w:pPr>
      <w:r>
        <w:rPr>
          <w:sz w:val="22"/>
          <w:szCs w:val="22"/>
        </w:rPr>
        <w:t>Mather, J. W. (1965). Formation of a high-density deuterium plasma focus. Physics of Fluids, 8(2), 366–377.</w:t>
      </w:r>
    </w:p>
    <w:p w14:paraId="52750489" w14:textId="77777777" w:rsidR="00DC4616" w:rsidRDefault="00000000">
      <w:pPr>
        <w:spacing w:after="120" w:line="276" w:lineRule="auto"/>
        <w:ind w:left="720" w:hanging="720"/>
      </w:pPr>
      <w:r>
        <w:rPr>
          <w:sz w:val="22"/>
          <w:szCs w:val="22"/>
        </w:rPr>
        <w:t>Maxon, S., &amp; Eddleman, J. (1990). Two-dimensional magnetohydrodynamic calculations of the plasma focus. Physics of Fluids B, 2(8), 1897.</w:t>
      </w:r>
    </w:p>
    <w:p w14:paraId="6E3BD0F6" w14:textId="77777777" w:rsidR="00DC4616" w:rsidRDefault="00000000">
      <w:pPr>
        <w:spacing w:after="120" w:line="276" w:lineRule="auto"/>
        <w:ind w:left="720" w:hanging="720"/>
      </w:pPr>
      <w:r>
        <w:rPr>
          <w:sz w:val="22"/>
          <w:szCs w:val="22"/>
        </w:rPr>
        <w:t xml:space="preserve">Minsky, M. L., &amp; </w:t>
      </w:r>
      <w:proofErr w:type="spellStart"/>
      <w:r>
        <w:rPr>
          <w:sz w:val="22"/>
          <w:szCs w:val="22"/>
        </w:rPr>
        <w:t>Papert</w:t>
      </w:r>
      <w:proofErr w:type="spellEnd"/>
      <w:r>
        <w:rPr>
          <w:sz w:val="22"/>
          <w:szCs w:val="22"/>
        </w:rPr>
        <w:t xml:space="preserve">, S. A. (1969). </w:t>
      </w:r>
      <w:proofErr w:type="spellStart"/>
      <w:r>
        <w:rPr>
          <w:sz w:val="22"/>
          <w:szCs w:val="22"/>
        </w:rPr>
        <w:t>Perceptrons</w:t>
      </w:r>
      <w:proofErr w:type="spellEnd"/>
      <w:r>
        <w:rPr>
          <w:sz w:val="22"/>
          <w:szCs w:val="22"/>
        </w:rPr>
        <w:t>: An Introduction to Computational Geometry. MIT Press.</w:t>
      </w:r>
    </w:p>
    <w:p w14:paraId="07CC5B5E" w14:textId="77777777" w:rsidR="00DC4616" w:rsidRDefault="00000000">
      <w:pPr>
        <w:spacing w:after="120" w:line="276" w:lineRule="auto"/>
        <w:ind w:left="720" w:hanging="720"/>
      </w:pPr>
      <w:r>
        <w:rPr>
          <w:sz w:val="22"/>
          <w:szCs w:val="22"/>
        </w:rPr>
        <w:t>Miyoshi, T., &amp; Kusano, K. (2005). A multi-state HLL approximate Riemann solver for ideal magnetohydrodynamics. Journal of Computational Physics, 208(1), 315–344.</w:t>
      </w:r>
    </w:p>
    <w:p w14:paraId="45D9CB23" w14:textId="77777777" w:rsidR="00DC4616" w:rsidRDefault="00000000">
      <w:pPr>
        <w:spacing w:after="120" w:line="276" w:lineRule="auto"/>
        <w:ind w:left="720" w:hanging="720"/>
      </w:pPr>
      <w:r>
        <w:rPr>
          <w:sz w:val="22"/>
          <w:szCs w:val="22"/>
        </w:rPr>
        <w:t xml:space="preserve">Peterkin, R. E., Jr., Frese, M. H., &amp; </w:t>
      </w:r>
      <w:proofErr w:type="spellStart"/>
      <w:r>
        <w:rPr>
          <w:sz w:val="22"/>
          <w:szCs w:val="22"/>
        </w:rPr>
        <w:t>Sovinec</w:t>
      </w:r>
      <w:proofErr w:type="spellEnd"/>
      <w:r>
        <w:rPr>
          <w:sz w:val="22"/>
          <w:szCs w:val="22"/>
        </w:rPr>
        <w:t>, C. R. (1998). Transport of magnetic flux in an arbitrary coordinate ALE code. Journal of Computational Physics, 140(1), 148–171.</w:t>
      </w:r>
    </w:p>
    <w:p w14:paraId="4F52DB13" w14:textId="77777777" w:rsidR="00DC4616" w:rsidRDefault="00000000">
      <w:pPr>
        <w:spacing w:after="120" w:line="276" w:lineRule="auto"/>
        <w:ind w:left="720" w:hanging="720"/>
      </w:pPr>
      <w:r>
        <w:rPr>
          <w:sz w:val="22"/>
          <w:szCs w:val="22"/>
        </w:rPr>
        <w:t>Polymathic AI. (2024). WALRUS: A foundation model for physical systems. GitHub repository.</w:t>
      </w:r>
    </w:p>
    <w:p w14:paraId="38AB4E2E" w14:textId="77777777" w:rsidR="00DC4616" w:rsidRDefault="00000000">
      <w:pPr>
        <w:spacing w:after="120" w:line="276" w:lineRule="auto"/>
        <w:ind w:left="720" w:hanging="720"/>
      </w:pPr>
      <w:r>
        <w:rPr>
          <w:sz w:val="22"/>
          <w:szCs w:val="22"/>
        </w:rPr>
        <w:t>Potter, D. E. (1971). Numerical studies of the plasma focus. Physics of Fluids, 14(9), 1911–1924.</w:t>
      </w:r>
    </w:p>
    <w:p w14:paraId="1EE3123B" w14:textId="77777777" w:rsidR="00DC4616" w:rsidRDefault="00000000">
      <w:pPr>
        <w:spacing w:after="120" w:line="276" w:lineRule="auto"/>
        <w:ind w:left="720" w:hanging="720"/>
      </w:pPr>
      <w:r>
        <w:rPr>
          <w:sz w:val="22"/>
          <w:szCs w:val="22"/>
        </w:rPr>
        <w:t>Princeton Plasma Physics Laboratory. (2026). PPPL launches STELLAR-AI platform to accelerate fusion energy research. PPPL News.</w:t>
      </w:r>
    </w:p>
    <w:p w14:paraId="083F1AE8" w14:textId="77777777" w:rsidR="00DC4616" w:rsidRDefault="00000000">
      <w:pPr>
        <w:spacing w:after="120" w:line="276" w:lineRule="auto"/>
        <w:ind w:left="720" w:hanging="720"/>
      </w:pPr>
      <w:proofErr w:type="spellStart"/>
      <w:r>
        <w:rPr>
          <w:sz w:val="22"/>
          <w:szCs w:val="22"/>
        </w:rPr>
        <w:t>Raissi</w:t>
      </w:r>
      <w:proofErr w:type="spellEnd"/>
      <w:r>
        <w:rPr>
          <w:sz w:val="22"/>
          <w:szCs w:val="22"/>
        </w:rPr>
        <w:t xml:space="preserve">, M., </w:t>
      </w:r>
      <w:proofErr w:type="spellStart"/>
      <w:r>
        <w:rPr>
          <w:sz w:val="22"/>
          <w:szCs w:val="22"/>
        </w:rPr>
        <w:t>Perdikaris</w:t>
      </w:r>
      <w:proofErr w:type="spellEnd"/>
      <w:r>
        <w:rPr>
          <w:sz w:val="22"/>
          <w:szCs w:val="22"/>
        </w:rPr>
        <w:t xml:space="preserve">, P., &amp; </w:t>
      </w:r>
      <w:proofErr w:type="spellStart"/>
      <w:r>
        <w:rPr>
          <w:sz w:val="22"/>
          <w:szCs w:val="22"/>
        </w:rPr>
        <w:t>Karniadakis</w:t>
      </w:r>
      <w:proofErr w:type="spellEnd"/>
      <w:r>
        <w:rPr>
          <w:sz w:val="22"/>
          <w:szCs w:val="22"/>
        </w:rPr>
        <w:t>, G. E. (2019). Physics-informed neural networks: A deep learning framework for solving forward and inverse problems involving nonlinear partial differential equations. Journal of Computational Physics, 378, 686–707.</w:t>
      </w:r>
    </w:p>
    <w:p w14:paraId="77F7F5F8" w14:textId="77777777" w:rsidR="00DC4616" w:rsidRDefault="00000000">
      <w:pPr>
        <w:spacing w:after="120" w:line="276" w:lineRule="auto"/>
        <w:ind w:left="720" w:hanging="720"/>
      </w:pPr>
      <w:r>
        <w:rPr>
          <w:sz w:val="22"/>
          <w:szCs w:val="22"/>
        </w:rPr>
        <w:t>Rosenblatt, F. (1958). The perceptron: A probabilistic model for information storage and organization in the brain. Psychological Review, 65(6), 386–408.</w:t>
      </w:r>
    </w:p>
    <w:p w14:paraId="7EA41411" w14:textId="77777777" w:rsidR="00DC4616" w:rsidRDefault="00000000">
      <w:pPr>
        <w:spacing w:after="120" w:line="276" w:lineRule="auto"/>
        <w:ind w:left="720" w:hanging="720"/>
      </w:pPr>
      <w:r>
        <w:rPr>
          <w:sz w:val="22"/>
          <w:szCs w:val="22"/>
        </w:rPr>
        <w:t>Rumelhart, D. E., Hinton, G. E., &amp; Williams, R. J. (1986). Learning representations by back-propagating errors. Nature, 323(6088), 533–536.</w:t>
      </w:r>
    </w:p>
    <w:p w14:paraId="77A2BC72" w14:textId="77777777" w:rsidR="00DC4616" w:rsidRDefault="00000000">
      <w:pPr>
        <w:spacing w:after="120" w:line="276" w:lineRule="auto"/>
        <w:ind w:left="720" w:hanging="720"/>
      </w:pPr>
      <w:r>
        <w:rPr>
          <w:sz w:val="22"/>
          <w:szCs w:val="22"/>
        </w:rPr>
        <w:t>Scholz, M., et al. (2006). Status of a megajoule plasma focus experiment. Nuclear Fusion, 46(8), 713.</w:t>
      </w:r>
    </w:p>
    <w:p w14:paraId="39244D63" w14:textId="77777777" w:rsidR="00DC4616" w:rsidRDefault="00000000">
      <w:pPr>
        <w:spacing w:after="120" w:line="276" w:lineRule="auto"/>
        <w:ind w:left="720" w:hanging="720"/>
      </w:pPr>
      <w:r>
        <w:rPr>
          <w:sz w:val="22"/>
          <w:szCs w:val="22"/>
        </w:rPr>
        <w:t>Shu, C.-W., &amp; Osher, S. (1988). Efficient implementation of essentially non-oscillatory shock-capturing schemes. Journal of Computational Physics, 77(2), 439–471.</w:t>
      </w:r>
    </w:p>
    <w:p w14:paraId="40B99F10" w14:textId="77777777" w:rsidR="00DC4616" w:rsidRDefault="00000000">
      <w:pPr>
        <w:spacing w:after="120" w:line="276" w:lineRule="auto"/>
        <w:ind w:left="720" w:hanging="720"/>
      </w:pPr>
      <w:r>
        <w:rPr>
          <w:sz w:val="22"/>
          <w:szCs w:val="22"/>
        </w:rPr>
        <w:t>Simons Foundation. (2025). These new AI models are trained on physics, not words, and they’re driving discovery. Simons Foundation News.</w:t>
      </w:r>
    </w:p>
    <w:p w14:paraId="2C180952" w14:textId="77777777" w:rsidR="00DC4616" w:rsidRDefault="00000000">
      <w:pPr>
        <w:spacing w:after="120" w:line="276" w:lineRule="auto"/>
        <w:ind w:left="720" w:hanging="720"/>
      </w:pPr>
      <w:r>
        <w:rPr>
          <w:sz w:val="22"/>
          <w:szCs w:val="22"/>
        </w:rPr>
        <w:t>Soto, L., et al. (2010). Research on pinch plasma focus devices of hundreds of joules to tens of joules. Plasma Sources Science and Technology, 19(5), 055017.</w:t>
      </w:r>
    </w:p>
    <w:p w14:paraId="312A66D5" w14:textId="77777777" w:rsidR="00DC4616" w:rsidRDefault="00000000">
      <w:pPr>
        <w:spacing w:after="120" w:line="276" w:lineRule="auto"/>
        <w:ind w:left="720" w:hanging="720"/>
      </w:pPr>
      <w:r>
        <w:rPr>
          <w:sz w:val="22"/>
          <w:szCs w:val="22"/>
        </w:rPr>
        <w:t xml:space="preserve">Stone, J. M., </w:t>
      </w:r>
      <w:proofErr w:type="spellStart"/>
      <w:r>
        <w:rPr>
          <w:sz w:val="22"/>
          <w:szCs w:val="22"/>
        </w:rPr>
        <w:t>Tomida</w:t>
      </w:r>
      <w:proofErr w:type="spellEnd"/>
      <w:r>
        <w:rPr>
          <w:sz w:val="22"/>
          <w:szCs w:val="22"/>
        </w:rPr>
        <w:t>, K., White, C. J., &amp; Felker, K. G. (2020). The Athena++ adaptive mesh refinement framework: Design and magnetohydrodynamic solvers. The Astrophysical Journal Supplement Series, 249(1), 4.</w:t>
      </w:r>
    </w:p>
    <w:p w14:paraId="42B7BD44" w14:textId="77777777" w:rsidR="00DC4616" w:rsidRDefault="00000000">
      <w:pPr>
        <w:spacing w:after="120" w:line="276" w:lineRule="auto"/>
        <w:ind w:left="720" w:hanging="720"/>
      </w:pPr>
      <w:r>
        <w:rPr>
          <w:sz w:val="22"/>
          <w:szCs w:val="22"/>
        </w:rPr>
        <w:t xml:space="preserve">Vaswani, A., </w:t>
      </w:r>
      <w:proofErr w:type="spellStart"/>
      <w:r>
        <w:rPr>
          <w:sz w:val="22"/>
          <w:szCs w:val="22"/>
        </w:rPr>
        <w:t>Shazeer</w:t>
      </w:r>
      <w:proofErr w:type="spellEnd"/>
      <w:r>
        <w:rPr>
          <w:sz w:val="22"/>
          <w:szCs w:val="22"/>
        </w:rPr>
        <w:t xml:space="preserve">, N., Parmar, N., </w:t>
      </w:r>
      <w:proofErr w:type="spellStart"/>
      <w:r>
        <w:rPr>
          <w:sz w:val="22"/>
          <w:szCs w:val="22"/>
        </w:rPr>
        <w:t>Uszkoreit</w:t>
      </w:r>
      <w:proofErr w:type="spellEnd"/>
      <w:r>
        <w:rPr>
          <w:sz w:val="22"/>
          <w:szCs w:val="22"/>
        </w:rPr>
        <w:t xml:space="preserve">, J., Jones, L., Gomez, A. N., ... &amp; </w:t>
      </w:r>
      <w:proofErr w:type="spellStart"/>
      <w:r>
        <w:rPr>
          <w:sz w:val="22"/>
          <w:szCs w:val="22"/>
        </w:rPr>
        <w:t>Polosukhin</w:t>
      </w:r>
      <w:proofErr w:type="spellEnd"/>
      <w:r>
        <w:rPr>
          <w:sz w:val="22"/>
          <w:szCs w:val="22"/>
        </w:rPr>
        <w:t>, I. (2017). Attention is all you need. Advances in Neural Information Processing Systems, 30.</w:t>
      </w:r>
    </w:p>
    <w:p w14:paraId="1DE4A2E9" w14:textId="77777777" w:rsidR="00DC4616" w:rsidRDefault="00000000">
      <w:pPr>
        <w:spacing w:after="120" w:line="276" w:lineRule="auto"/>
        <w:ind w:left="720" w:hanging="720"/>
      </w:pPr>
      <w:r>
        <w:rPr>
          <w:sz w:val="22"/>
          <w:szCs w:val="22"/>
        </w:rPr>
        <w:t xml:space="preserve">Xu, Z., Jain, S., &amp; </w:t>
      </w:r>
      <w:proofErr w:type="spellStart"/>
      <w:r>
        <w:rPr>
          <w:sz w:val="22"/>
          <w:szCs w:val="22"/>
        </w:rPr>
        <w:t>Kankanhalli</w:t>
      </w:r>
      <w:proofErr w:type="spellEnd"/>
      <w:r>
        <w:rPr>
          <w:sz w:val="22"/>
          <w:szCs w:val="22"/>
        </w:rPr>
        <w:t xml:space="preserve">, M. (2024). Hallucination is inevitable: An innate limitation of large language models. </w:t>
      </w:r>
      <w:proofErr w:type="spellStart"/>
      <w:r>
        <w:rPr>
          <w:sz w:val="22"/>
          <w:szCs w:val="22"/>
        </w:rPr>
        <w:t>arXiv</w:t>
      </w:r>
      <w:proofErr w:type="spellEnd"/>
      <w:r>
        <w:rPr>
          <w:sz w:val="22"/>
          <w:szCs w:val="22"/>
        </w:rPr>
        <w:t xml:space="preserve"> preprint arXiv:2401.11817.</w:t>
      </w:r>
    </w:p>
    <w:sectPr w:rsidR="00DC461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FF817" w14:textId="77777777" w:rsidR="00EE0A79" w:rsidRDefault="00EE0A79">
      <w:r>
        <w:separator/>
      </w:r>
    </w:p>
  </w:endnote>
  <w:endnote w:type="continuationSeparator" w:id="0">
    <w:p w14:paraId="6CCE2A80" w14:textId="77777777" w:rsidR="00EE0A79" w:rsidRDefault="00EE0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41507" w14:textId="77777777" w:rsidR="00DC4616"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6530F" w14:textId="77777777" w:rsidR="00EE0A79" w:rsidRDefault="00EE0A79">
      <w:r>
        <w:separator/>
      </w:r>
    </w:p>
  </w:footnote>
  <w:footnote w:type="continuationSeparator" w:id="0">
    <w:p w14:paraId="4BC2CE7D" w14:textId="77777777" w:rsidR="00EE0A79" w:rsidRDefault="00EE0A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EB07C" w14:textId="77777777" w:rsidR="00DC4616" w:rsidRDefault="00000000">
    <w:pPr>
      <w:jc w:val="right"/>
    </w:pPr>
    <w:r>
      <w:rPr>
        <w:rFonts w:ascii="Calibri" w:eastAsia="Calibri" w:hAnsi="Calibri" w:cs="Calibri"/>
        <w:i/>
        <w:iCs/>
        <w:color w:val="666666"/>
        <w:sz w:val="18"/>
        <w:szCs w:val="18"/>
      </w:rPr>
      <w:t>Zamora — AI-Augmented DPF Simulator Development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9E499C"/>
    <w:multiLevelType w:val="hybridMultilevel"/>
    <w:tmpl w:val="4CF01978"/>
    <w:lvl w:ilvl="0" w:tplc="64B86D4E">
      <w:start w:val="1"/>
      <w:numFmt w:val="bullet"/>
      <w:lvlText w:val="●"/>
      <w:lvlJc w:val="left"/>
      <w:pPr>
        <w:ind w:left="720" w:hanging="360"/>
      </w:pPr>
    </w:lvl>
    <w:lvl w:ilvl="1" w:tplc="A06E214C">
      <w:start w:val="1"/>
      <w:numFmt w:val="bullet"/>
      <w:lvlText w:val="○"/>
      <w:lvlJc w:val="left"/>
      <w:pPr>
        <w:ind w:left="1440" w:hanging="360"/>
      </w:pPr>
    </w:lvl>
    <w:lvl w:ilvl="2" w:tplc="AFCE1B4E">
      <w:start w:val="1"/>
      <w:numFmt w:val="bullet"/>
      <w:lvlText w:val="■"/>
      <w:lvlJc w:val="left"/>
      <w:pPr>
        <w:ind w:left="2160" w:hanging="360"/>
      </w:pPr>
    </w:lvl>
    <w:lvl w:ilvl="3" w:tplc="C846DB5A">
      <w:start w:val="1"/>
      <w:numFmt w:val="bullet"/>
      <w:lvlText w:val="●"/>
      <w:lvlJc w:val="left"/>
      <w:pPr>
        <w:ind w:left="2880" w:hanging="360"/>
      </w:pPr>
    </w:lvl>
    <w:lvl w:ilvl="4" w:tplc="A0BE3FB6">
      <w:start w:val="1"/>
      <w:numFmt w:val="bullet"/>
      <w:lvlText w:val="○"/>
      <w:lvlJc w:val="left"/>
      <w:pPr>
        <w:ind w:left="3600" w:hanging="360"/>
      </w:pPr>
    </w:lvl>
    <w:lvl w:ilvl="5" w:tplc="93B28C08">
      <w:start w:val="1"/>
      <w:numFmt w:val="bullet"/>
      <w:lvlText w:val="■"/>
      <w:lvlJc w:val="left"/>
      <w:pPr>
        <w:ind w:left="4320" w:hanging="360"/>
      </w:pPr>
    </w:lvl>
    <w:lvl w:ilvl="6" w:tplc="90B05A80">
      <w:start w:val="1"/>
      <w:numFmt w:val="bullet"/>
      <w:lvlText w:val="●"/>
      <w:lvlJc w:val="left"/>
      <w:pPr>
        <w:ind w:left="5040" w:hanging="360"/>
      </w:pPr>
    </w:lvl>
    <w:lvl w:ilvl="7" w:tplc="3564AD94">
      <w:start w:val="1"/>
      <w:numFmt w:val="bullet"/>
      <w:lvlText w:val="●"/>
      <w:lvlJc w:val="left"/>
      <w:pPr>
        <w:ind w:left="5760" w:hanging="360"/>
      </w:pPr>
    </w:lvl>
    <w:lvl w:ilvl="8" w:tplc="8C0C3E3C">
      <w:start w:val="1"/>
      <w:numFmt w:val="bullet"/>
      <w:lvlText w:val="●"/>
      <w:lvlJc w:val="left"/>
      <w:pPr>
        <w:ind w:left="6480" w:hanging="360"/>
      </w:pPr>
    </w:lvl>
  </w:abstractNum>
  <w:num w:numId="1" w16cid:durableId="9544797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616"/>
    <w:rsid w:val="00675356"/>
    <w:rsid w:val="009309F7"/>
    <w:rsid w:val="00D456EE"/>
    <w:rsid w:val="00DC4616"/>
    <w:rsid w:val="00EE0A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E5E104"/>
  <w15:docId w15:val="{99C4548E-83D2-D54A-A75A-98F8692DF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rFonts w:ascii="Calibri" w:eastAsia="Calibri" w:hAnsi="Calibri" w:cs="Calibri"/>
      <w:b/>
      <w:bCs/>
      <w:color w:val="1F4E79"/>
      <w:sz w:val="32"/>
      <w:szCs w:val="32"/>
    </w:rPr>
  </w:style>
  <w:style w:type="paragraph" w:styleId="Heading2">
    <w:name w:val="heading 2"/>
    <w:uiPriority w:val="9"/>
    <w:unhideWhenUsed/>
    <w:qFormat/>
    <w:pPr>
      <w:spacing w:before="280" w:after="180"/>
      <w:outlineLvl w:val="1"/>
    </w:pPr>
    <w:rPr>
      <w:rFonts w:ascii="Calibri" w:eastAsia="Calibri" w:hAnsi="Calibri" w:cs="Calibri"/>
      <w:b/>
      <w:bCs/>
      <w:color w:val="1F4E79"/>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16611</Words>
  <Characters>101500</Characters>
  <Application>Microsoft Office Word</Application>
  <DocSecurity>0</DocSecurity>
  <Lines>1561</Lines>
  <Paragraphs>482</Paragraphs>
  <ScaleCrop>false</ScaleCrop>
  <Company/>
  <LinksUpToDate>false</LinksUpToDate>
  <CharactersWithSpaces>117629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Anthony Zamora</cp:lastModifiedBy>
  <cp:revision>3</cp:revision>
  <dcterms:created xsi:type="dcterms:W3CDTF">2026-03-15T20:35:00Z</dcterms:created>
  <dcterms:modified xsi:type="dcterms:W3CDTF">2026-03-15T20:56:00Z</dcterms:modified>
</cp:coreProperties>
</file>