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mc:Ignorable="">
  <w:body>
    <w:p>
      <w:pPr>
        <w:spacing w:line="480" w:lineRule="auto" w:after="120"/>
        <w:jc w:val="center"/>
      </w:pPr>
      <w:r>
        <w:rPr>
          <w:sz w:val="32"/>
          <w:szCs w:val="32"/>
          <w:rFonts w:ascii="Times New Roman" w:hAnsi="Times New Roman" w:cs="Times New Roman"/>
          <w:b/>
          <w:bCs/>
        </w:rPr>
        <w:t>DPF-Unified: A Multi-Fidelity Magnetohydrodynamic Framework</w:t>
      </w:r>
    </w:p>
    <w:p>
      <w:pPr>
        <w:spacing w:line="480" w:lineRule="auto" w:after="0"/>
      </w:pPr>
      <w:r>
        <w:rPr>
          <w:sz w:val="24"/>
          <w:szCs w:val="24"/>
          <w:rFonts w:ascii="Times New Roman" w:hAnsi="Times New Roman" w:cs="Times New Roman"/>
        </w:rPr>
        <w:t>for Dense Plasma Focus Simulation on Consumer Hardware</w:t>
      </w:r>
    </w:p>
    <w:p>
      <w:pPr>
        <w:spacing w:line="480" w:lineRule="auto" w:after="0"/>
      </w:pPr>
      <w:r>
        <w:rPr>
          <w:sz w:val="24"/>
          <w:szCs w:val="24"/>
          <w:rFonts w:ascii="Times New Roman" w:hAnsi="Times New Roman" w:cs="Times New Roman"/>
        </w:rPr>
        <w:t>Numerical Methods, Software Architecture, and AI Surrogate Integration</w:t>
      </w:r>
    </w:p>
    <w:p>
      <w:pPr>
        <w:spacing w:line="480" w:lineRule="auto" w:after="0"/>
      </w:pPr>
      <w:r>
        <w:rPr>
          <w:sz w:val="24"/>
          <w:szCs w:val="24"/>
          <w:rFonts w:ascii="Times New Roman" w:hAnsi="Times New Roman" w:cs="Times New Roman"/>
        </w:rPr>
        <w:t>Anthony J. Zamora</w:t>
      </w:r>
    </w:p>
    <w:p>
      <w:pPr>
        <w:pStyle w:val="Heading1"/>
        <w:spacing w:line="480" w:lineRule="auto" w:after="120"/>
      </w:pPr>
      <w:r>
        <w:rPr>
          <w:sz w:val="28"/>
          <w:szCs w:val="28"/>
          <w:rFonts w:ascii="Times New Roman" w:hAnsi="Times New Roman" w:cs="Times New Roman"/>
          <w:b/>
          <w:bCs/>
        </w:rPr>
        <w:t>Abstract</w:t>
      </w:r>
    </w:p>
    <w:p>
      <w:pPr>
        <w:spacing w:line="480" w:lineRule="auto" w:after="0"/>
      </w:pPr>
      <w:r>
        <w:rPr>
          <w:sz w:val="24"/>
          <w:szCs w:val="24"/>
          <w:rFonts w:ascii="Times New Roman" w:hAnsi="Times New Roman" w:cs="Times New Roman"/>
        </w:rPr>
        <w:t>Dense Plasma Focus simulation has historically required specialized high-performance computing infrastructure, limiting accessibility to well-funded national laboratories. DPF-Unified addresses this bottleneck by implementing seven simulation backends spanning reduced-order models to three-dimensional magnetohydrodynamic codes, all executing on consumer Apple Silicon hardware with 36 gigabytes of unified memory. This paper presents the numerical methods underlying the framework, including fifth-order WENO-Z spatial reconstruction with Borges global smoothness indicator, the four-wave HLLD Riemann solver with catastrophic cancellation guards, three-stage strong-stability-preserving Runge-Kutta time integration, and constrained transport divergence control to machine precision. The software architecture employs a multi-backend strategy pattern supporting Python (NumPy/Numba, fallback), Metal GPU-accelerated (PyTorch MPS, 8.9/10 fidelity), Athena++ (Princeton C++ MHD, pybind11 linked mode), and AthenaK (Kokkos C++, subprocess). Validation against PF-1000 experimental data shows 9.1 percent peak current error for the zero-dimensional Lee model and 7 percent improvement with hybrid Lee plus MHD coupling. The Metal GPU solver achieves a fidelity rating of 8.9 out of 10 in maximum-accuracy configuration employing WENO-Z, HLLD, SSP-RK3, float64 precision, constrained transport, and monotonized central slope limiting. Cross-backend verification between Python, Metal, and Athena++ confirms Sod shock tube density L1 error below 15 percent, attributable to different spatial reconstruction orders. Integration of the WALRUS 1.3-billion-parameter Encoder-Processor-Decoder Transformer from Polymathic AI enables 10 to 100 times speedup for parameter sweeps with quantified uncertainty. All fifteen Dense Plasma Focus simulation challenges identified in the peer-reviewed literature are addressed with initial implementations within a single unified codebase comprising 46,500 lines of Python, 3,852 unit tests, twelve device presets with full parameter provenance, and 67 documentation files spanning 16 development phases. The framework demonstrates that consumer-class hardware with accessible open-source tools suffices for production-grade multi-physics dense plasma focus simulation.</w:t>
      </w:r>
    </w:p>
    <w:p>
      <w:pPr>
        <w:spacing w:line="480" w:lineRule="auto" w:after="0"/>
      </w:pPr>
      <w:r>
        <w:rPr>
          <w:sz w:val="24"/>
          <w:szCs w:val="24"/>
          <w:rFonts w:ascii="Times New Roman" w:hAnsi="Times New Roman" w:cs="Times New Roman"/>
        </w:rPr>
        <w:t>Keywords:</w:t>
      </w:r>
    </w:p>
    <w:p>
      <w:pPr>
        <w:pStyle w:val="Heading1"/>
        <w:spacing w:line="480" w:lineRule="auto" w:after="120"/>
      </w:pPr>
      <w:r>
        <w:rPr>
          <w:sz w:val="28"/>
          <w:szCs w:val="28"/>
          <w:rFonts w:ascii="Times New Roman" w:hAnsi="Times New Roman" w:cs="Times New Roman"/>
          <w:b/>
          <w:bCs/>
        </w:rPr>
        <w:t>Contents</w:t>
      </w:r>
    </w:p>
    <w:p>
      <w:pPr>
        <w:pStyle w:val="Heading1"/>
        <w:spacing w:line="480" w:lineRule="auto" w:after="120"/>
      </w:pPr>
      <w:r>
        <w:rPr>
          <w:sz w:val="28"/>
          <w:szCs w:val="28"/>
          <w:rFonts w:ascii="Times New Roman" w:hAnsi="Times New Roman" w:cs="Times New Roman"/>
          <w:b/>
          <w:bCs/>
        </w:rPr>
        <w:t>1. Introduction</w:t>
      </w:r>
    </w:p>
    <w:p>
      <w:pPr>
        <w:pStyle w:val="Heading1"/>
        <w:spacing w:line="480" w:lineRule="auto" w:after="120"/>
      </w:pPr>
      <w:r>
        <w:rPr>
          <w:sz w:val="28"/>
          <w:szCs w:val="28"/>
          <w:rFonts w:ascii="Times New Roman" w:hAnsi="Times New Roman" w:cs="Times New Roman"/>
          <w:b/>
          <w:bCs/>
        </w:rPr>
        <w:t>2. Governing Equations</w:t>
      </w:r>
    </w:p>
    <w:p>
      <w:pPr>
        <w:pStyle w:val="Heading1"/>
        <w:spacing w:line="480" w:lineRule="auto" w:after="120"/>
      </w:pPr>
      <w:r>
        <w:rPr>
          <w:sz w:val="28"/>
          <w:szCs w:val="28"/>
          <w:rFonts w:ascii="Times New Roman" w:hAnsi="Times New Roman" w:cs="Times New Roman"/>
          <w:b/>
          <w:bCs/>
        </w:rPr>
        <w:t>3. Numerical Methods</w:t>
      </w:r>
    </w:p>
    <w:p>
      <w:pPr>
        <w:pStyle w:val="Heading1"/>
        <w:spacing w:line="480" w:lineRule="auto" w:after="120"/>
      </w:pPr>
      <w:r>
        <w:rPr>
          <w:sz w:val="28"/>
          <w:szCs w:val="28"/>
          <w:rFonts w:ascii="Times New Roman" w:hAnsi="Times New Roman" w:cs="Times New Roman"/>
          <w:b/>
          <w:bCs/>
        </w:rPr>
        <w:t>4. Software Architecture</w:t>
      </w:r>
    </w:p>
    <w:p>
      <w:pPr>
        <w:pStyle w:val="Heading1"/>
        <w:spacing w:line="480" w:lineRule="auto" w:after="120"/>
      </w:pPr>
      <w:r>
        <w:rPr>
          <w:sz w:val="28"/>
          <w:szCs w:val="28"/>
          <w:rFonts w:ascii="Times New Roman" w:hAnsi="Times New Roman" w:cs="Times New Roman"/>
          <w:b/>
          <w:bCs/>
        </w:rPr>
        <w:t>5. WALRUS Neural Surrogate Integration</w:t>
      </w:r>
    </w:p>
    <w:p>
      <w:pPr>
        <w:pStyle w:val="Heading1"/>
        <w:spacing w:line="480" w:lineRule="auto" w:after="120"/>
      </w:pPr>
      <w:r>
        <w:rPr>
          <w:sz w:val="28"/>
          <w:szCs w:val="28"/>
          <w:rFonts w:ascii="Times New Roman" w:hAnsi="Times New Roman" w:cs="Times New Roman"/>
          <w:b/>
          <w:bCs/>
        </w:rPr>
        <w:t>6. Verification and Validation</w:t>
      </w:r>
    </w:p>
    <w:p>
      <w:pPr>
        <w:pStyle w:val="Heading1"/>
        <w:spacing w:line="480" w:lineRule="auto" w:after="120"/>
      </w:pPr>
      <w:r>
        <w:rPr>
          <w:sz w:val="28"/>
          <w:szCs w:val="28"/>
          <w:rFonts w:ascii="Times New Roman" w:hAnsi="Times New Roman" w:cs="Times New Roman"/>
          <w:b/>
          <w:bCs/>
        </w:rPr>
        <w:t>7. Coverage of DPF Simulation Challenges</w:t>
      </w:r>
    </w:p>
    <w:p>
      <w:pPr>
        <w:pStyle w:val="Heading1"/>
        <w:spacing w:line="480" w:lineRule="auto" w:after="120"/>
      </w:pPr>
      <w:r>
        <w:rPr>
          <w:sz w:val="28"/>
          <w:szCs w:val="28"/>
          <w:rFonts w:ascii="Times New Roman" w:hAnsi="Times New Roman" w:cs="Times New Roman"/>
          <w:b/>
          <w:bCs/>
        </w:rPr>
        <w:t>8. Current Limitations and Future Work</w:t>
      </w:r>
    </w:p>
    <w:p>
      <w:pPr>
        <w:pStyle w:val="Heading1"/>
        <w:spacing w:line="480" w:lineRule="auto" w:after="120"/>
      </w:pPr>
      <w:r>
        <w:rPr>
          <w:sz w:val="28"/>
          <w:szCs w:val="28"/>
          <w:rFonts w:ascii="Times New Roman" w:hAnsi="Times New Roman" w:cs="Times New Roman"/>
          <w:b/>
          <w:bCs/>
        </w:rPr>
        <w:t>9. Conclusion</w:t>
      </w:r>
    </w:p>
    <w:p>
      <w:pPr>
        <w:pStyle w:val="Heading1"/>
        <w:spacing w:line="480" w:lineRule="auto" w:after="120"/>
      </w:pPr>
      <w:r>
        <w:rPr>
          <w:sz w:val="28"/>
          <w:szCs w:val="28"/>
          <w:rFonts w:ascii="Times New Roman" w:hAnsi="Times New Roman" w:cs="Times New Roman"/>
          <w:b/>
          <w:bCs/>
        </w:rPr>
        <w:t>References</w:t>
      </w:r>
    </w:p>
    <w:p>
      <w:pPr>
        <w:pStyle w:val="Heading1"/>
        <w:spacing w:line="480" w:lineRule="auto" w:after="120"/>
      </w:pPr>
      <w:r>
        <w:rPr>
          <w:sz w:val="28"/>
          <w:szCs w:val="28"/>
          <w:rFonts w:ascii="Times New Roman" w:hAnsi="Times New Roman" w:cs="Times New Roman"/>
          <w:b/>
          <w:bCs/>
        </w:rPr>
        <w:t>1. Introduction</w:t>
      </w:r>
    </w:p>
    <w:p>
      <w:pPr>
        <w:spacing w:line="480" w:lineRule="auto" w:after="0"/>
      </w:pPr>
      <w:r>
        <w:rPr>
          <w:sz w:val="24"/>
          <w:szCs w:val="24"/>
          <w:rFonts w:ascii="Times New Roman" w:hAnsi="Times New Roman" w:cs="Times New Roman"/>
        </w:rPr>
        <w:t>Dense Plasma Focus (DPF) devices represent one of the most compact and accessible approaches to controlled fusion research. These coaxial, pulsed-power devices have demonstrated remarkable scalability, ranging from university-scale equipment operating at tens of kilovolts to multi-megavolt installations at national laboratories. The Mather and Filipov configurations, first developed in the 1960s and 1970s, have evolved to achieve ion temperatures exceeding ten kiloelectronvolts and plasma densities surpassing 10 to the 25th power per cubic meter. Despite these impressive achievements, the fundamental physics governing Dense Plasma Focus operation remains incompletely understood, particularly in the domains of magnetic reconnection during the compression phase, anomalous resistivity mechanisms that deviate from classical Spitzer predictions, and the interplay between kinetic effects at the ion-acoustic scale and macroscopic magnetohydrodynamic phenomena.</w:t>
      </w:r>
    </w:p>
    <w:p>
      <w:pPr>
        <w:spacing w:line="480" w:lineRule="auto" w:after="0"/>
      </w:pPr>
      <w:r>
        <w:rPr>
          <w:sz w:val="24"/>
          <w:szCs w:val="24"/>
          <w:rFonts w:ascii="Times New Roman" w:hAnsi="Times New Roman" w:cs="Times New Roman"/>
        </w:rPr>
        <w:t>Numerical simulation of Dense Plasma Focus devices has historically proceeded along two distinct and largely disconnected pathways. The zero-dimensional Lee model, based on conservation laws and electromagnetic induction, executes in milliseconds and has proven remarkably predictive for gross parameters such as peak current and current stagnation time. However, the Lee model treats the plasma as a homogeneous entity and cannot resolve spatial structure, instabilities, or the detailed magnetic field topology essential for understanding neutron production mechanisms and yield scaling laws. Conversely, three-dimensional magnetohydrodynamic simulations, when performed using established open-source codes such as Athena++ or specialized research frameworks, provide unprecedented spatial resolution and physics fidelity but demand massive computational resources. A production-grade Dense Plasma Focus MHD simulation on a typical coarse grid of 128 by 128 by 128 zones requires hours to days of computation on high-performance computing clusters, placing such simulations beyond the reach of most university fusion laboratories and private fusion companies lacking institutional HPC access.</w:t>
      </w:r>
    </w:p>
    <w:p>
      <w:pPr>
        <w:spacing w:line="480" w:lineRule="auto" w:after="0"/>
      </w:pPr>
      <w:r>
        <w:rPr>
          <w:sz w:val="24"/>
          <w:szCs w:val="24"/>
          <w:rFonts w:ascii="Times New Roman" w:hAnsi="Times New Roman" w:cs="Times New Roman"/>
        </w:rPr>
        <w:t>DPF-Unified bridges this gap by implementing a multi-fidelity simulation framework supporting seven distinct backends that execute on consumer-grade Apple Silicon hardware, specifically the M3 Pro MacBook Pro with thirty-six gigabytes of unified memory. The framework spans from reduced-order zero-dimensional models through semi-analytical techniques to fully three-dimensional viscoresistive magnetohydrodynamic simulations with constrained transport divergence control, Braginskii transport coefficients, and coupled radiation transport. All backends conform to a unified state vector representation enabling seamless transitions between fidelity levels and cross-backend verification. The implementation comprises 46,500 lines of production-quality Python code organized into 28 core modules, supplemented by 3,852 unit and integration tests, device presets for twelve historical Dense Plasma Focus devices with full parameter provenance, and an extensive documentation suite spanning 67 files and sixteen development phases.</w:t>
      </w:r>
    </w:p>
    <w:p>
      <w:pPr>
        <w:spacing w:line="480" w:lineRule="auto" w:after="0"/>
      </w:pPr>
      <w:r>
        <w:rPr>
          <w:sz w:val="24"/>
          <w:szCs w:val="24"/>
          <w:rFonts w:ascii="Times New Roman" w:hAnsi="Times New Roman" w:cs="Times New Roman"/>
        </w:rPr>
        <w:t>This companion paper focuses on three critical aspects not addressed in the original AI-methodology paper: first, the numerical methods foundation including spatial reconstruction schemes, Riemann solvers, time integration strategies, and divergence control algorithms; second, the software architecture implementing the multi-backend strategy pattern with systematic code reuse and testability; and third, the integration of the WALRUS 1.3-billion-parameter Encoder-Processor-Decoder Transformer from Polymathic AI as a learned surrogate model enabling inverse design and rapid parameter exploration. The paper is structured as follows. Section 2 presents the governing equations of ideal and resistive magnetohydrodynamics coupled to an RLC circuit model. Section 3 details the numerical methods with emphasis on the critical distinctions between finite-volume and finite-difference formulations in WENO reconstruction, the stabilization mechanisms in the HLLD Riemann solver, and the time-integration choices balancing accuracy and computational cost. Section 4 describes the software architecture, configuration system, and testing infrastructure. Section 5 explains the WALRUS integration pipeline including field mappings, the Well HDF5 format, and the hybrid Lee-plus-MHD engine. Section 6 presents comprehensive verification and validation results including code-to-code comparisons, experimental validation against PF-1000 data, and fidelity assessments across the backend portfolio. Section 7 maps the fifteen Dense Plasma Focus simulation challenges from the fusion literature to implementations in DPF-Unified. Finally, Section 8 discusses current limitations and pathways for future research.</w:t>
      </w:r>
    </w:p>
    <w:p>
      <w:pPr>
        <w:pStyle w:val="Heading1"/>
        <w:spacing w:line="480" w:lineRule="auto" w:after="120"/>
      </w:pPr>
      <w:r>
        <w:rPr>
          <w:sz w:val="28"/>
          <w:szCs w:val="28"/>
          <w:rFonts w:ascii="Times New Roman" w:hAnsi="Times New Roman" w:cs="Times New Roman"/>
          <w:b/>
          <w:bCs/>
        </w:rPr>
        <w:t>2. Governing Equations</w:t>
      </w:r>
    </w:p>
    <w:p>
      <w:pPr>
        <w:pStyle w:val="Heading2"/>
        <w:spacing w:line="480" w:lineRule="auto" w:after="120"/>
      </w:pPr>
      <w:r>
        <w:rPr>
          <w:sz w:val="26"/>
          <w:szCs w:val="26"/>
          <w:rFonts w:ascii="Times New Roman" w:hAnsi="Times New Roman" w:cs="Times New Roman"/>
          <w:b/>
          <w:bCs/>
        </w:rPr>
        <w:t>2.1 Ideal Magnetohydrodynamic Conservation Laws</w:t>
      </w:r>
    </w:p>
    <w:p>
      <w:pPr>
        <w:spacing w:line="480" w:lineRule="auto" w:after="0"/>
      </w:pPr>
      <w:r>
        <w:rPr>
          <w:sz w:val="24"/>
          <w:szCs w:val="24"/>
          <w:rFonts w:ascii="Times New Roman" w:hAnsi="Times New Roman" w:cs="Times New Roman"/>
        </w:rPr>
        <w:t>The ideal magnetohydrodynamic approximation treats a fully ionized collisional plasma as a single conducting fluid with no separate electron and ion temperatures, uniform velocity, and vanishing net charge density. Under these conditions, the governing equations conserve mass, momentum, magnetic flux, and total energy. The mass conservation equation is written in conservative form as:</w:t>
      </w:r>
    </w:p>
    <w:p>
      <w:pPr>
        <w:spacing w:line="480" w:lineRule="auto" w:after="0"/>
      </w:pPr>
      <w:r>
        <w:rPr>
          <w:sz w:val="24"/>
          <w:szCs w:val="24"/>
          <w:rFonts w:ascii="Times New Roman" w:hAnsi="Times New Roman" w:cs="Times New Roman"/>
        </w:rPr>
        <w:t>d(rho)/dt + nabla*(rho*v) = 0</w:t>
      </w:r>
    </w:p>
    <w:p>
      <w:pPr>
        <w:spacing w:line="480" w:lineRule="auto" w:after="0"/>
      </w:pPr>
      <w:r>
        <w:rPr>
          <w:sz w:val="24"/>
          <w:szCs w:val="24"/>
          <w:rFonts w:ascii="Times New Roman" w:hAnsi="Times New Roman" w:cs="Times New Roman"/>
        </w:rPr>
        <w:t>where rho denotes the mass density and v is the velocity field. The momentum equation, including the Lorentz force from the magnetic field B, reads:</w:t>
      </w:r>
    </w:p>
    <w:p>
      <w:pPr>
        <w:spacing w:line="480" w:lineRule="auto" w:after="0"/>
      </w:pPr>
      <w:r>
        <w:rPr>
          <w:sz w:val="24"/>
          <w:szCs w:val="24"/>
          <w:rFonts w:ascii="Times New Roman" w:hAnsi="Times New Roman" w:cs="Times New Roman"/>
        </w:rPr>
        <w:t>d(rho*v)/dt + nabla*(rho*v*v) = -nabla*P + (nabla x B) x B / mu_0</w:t>
      </w:r>
    </w:p>
    <w:p>
      <w:pPr>
        <w:spacing w:line="480" w:lineRule="auto" w:after="0"/>
      </w:pPr>
      <w:r>
        <w:rPr>
          <w:sz w:val="24"/>
          <w:szCs w:val="24"/>
          <w:rFonts w:ascii="Times New Roman" w:hAnsi="Times New Roman" w:cs="Times New Roman"/>
        </w:rPr>
        <w:t>where P is the thermal pressure and mu_0 is the permeability of free space. The induction equation, expressing the evolution of the magnetic field under the plasma motion, is:</w:t>
      </w:r>
    </w:p>
    <w:p>
      <w:pPr>
        <w:spacing w:line="480" w:lineRule="auto" w:after="0"/>
      </w:pPr>
      <w:r>
        <w:rPr>
          <w:sz w:val="24"/>
          <w:szCs w:val="24"/>
          <w:rFonts w:ascii="Times New Roman" w:hAnsi="Times New Roman" w:cs="Times New Roman"/>
        </w:rPr>
        <w:t>d(B)/dt = nabla x (v x B)</w:t>
      </w:r>
    </w:p>
    <w:p>
      <w:pPr>
        <w:spacing w:line="480" w:lineRule="auto" w:after="0"/>
      </w:pPr>
      <w:r>
        <w:rPr>
          <w:sz w:val="24"/>
          <w:szCs w:val="24"/>
          <w:rFonts w:ascii="Times New Roman" w:hAnsi="Times New Roman" w:cs="Times New Roman"/>
        </w:rPr>
        <w:t>This form ensures the divergence-free constraint nabla*B = 0 is preserved analytically, though numerical discretization introduces errors that must be controlled through constrained transport or divergence cleaning algorithms discussed in Section 3.4. The energy equation for the total energy density E = (rho*v*v/2 + P/(gamma-1) + B*B/2*mu_0) is written as:</w:t>
      </w:r>
    </w:p>
    <w:p>
      <w:pPr>
        <w:spacing w:line="480" w:lineRule="auto" w:after="0"/>
      </w:pPr>
      <w:r>
        <w:rPr>
          <w:sz w:val="24"/>
          <w:szCs w:val="24"/>
          <w:rFonts w:ascii="Times New Roman" w:hAnsi="Times New Roman" w:cs="Times New Roman"/>
        </w:rPr>
        <w:t>d(E)/dt + nabla*(E*v + P*v + (v x B) x B / mu_0) = 0</w:t>
      </w:r>
    </w:p>
    <w:p>
      <w:pPr>
        <w:spacing w:line="480" w:lineRule="auto" w:after="0"/>
      </w:pPr>
      <w:r>
        <w:rPr>
          <w:sz w:val="24"/>
          <w:szCs w:val="24"/>
          <w:rFonts w:ascii="Times New Roman" w:hAnsi="Times New Roman" w:cs="Times New Roman"/>
        </w:rPr>
        <w:t>where gamma is the adiabatic index, typically 5/3 for a monatomic plasma. The equation of state closes the system by relating pressure to density and internal energy:</w:t>
      </w:r>
    </w:p>
    <w:p>
      <w:pPr>
        <w:spacing w:line="480" w:lineRule="auto" w:after="0"/>
      </w:pPr>
      <w:r>
        <w:rPr>
          <w:sz w:val="24"/>
          <w:szCs w:val="24"/>
          <w:rFonts w:ascii="Times New Roman" w:hAnsi="Times New Roman" w:cs="Times New Roman"/>
        </w:rPr>
        <w:t>P = (gamma-1)*(E - rho*v*v/2 - B*B/2*mu_0)</w:t>
      </w:r>
    </w:p>
    <w:p>
      <w:pPr>
        <w:spacing w:line="480" w:lineRule="auto" w:after="0"/>
      </w:pPr>
      <w:r>
        <w:rPr>
          <w:sz w:val="24"/>
          <w:szCs w:val="24"/>
          <w:rFonts w:ascii="Times New Roman" w:hAnsi="Times New Roman" w:cs="Times New Roman"/>
        </w:rPr>
        <w:t>These five equations—conservation of mass, three components of momentum, and energy—together with the induction equation for three components of B constitute the standard formulation of three-dimensional ideal magnetohydrodynamics. The conservation form is essential for discrete formulations that maintain the correct jump conditions across shocks and contact discontinuities.</w:t>
      </w:r>
    </w:p>
    <w:p>
      <w:pPr>
        <w:pStyle w:val="Heading2"/>
        <w:spacing w:line="480" w:lineRule="auto" w:after="120"/>
      </w:pPr>
      <w:r>
        <w:rPr>
          <w:sz w:val="26"/>
          <w:szCs w:val="26"/>
          <w:rFonts w:ascii="Times New Roman" w:hAnsi="Times New Roman" w:cs="Times New Roman"/>
          <w:b/>
          <w:bCs/>
        </w:rPr>
        <w:t>2.2 RLC Circuit Coupling and Electromagnetic Induction</w:t>
      </w:r>
    </w:p>
    <w:p>
      <w:pPr>
        <w:spacing w:line="480" w:lineRule="auto" w:after="0"/>
      </w:pPr>
      <w:r>
        <w:rPr>
          <w:sz w:val="24"/>
          <w:szCs w:val="24"/>
          <w:rFonts w:ascii="Times New Roman" w:hAnsi="Times New Roman" w:cs="Times New Roman"/>
        </w:rPr>
        <w:t>A Dense Plasma Focus device is inherently a coupled plasma-circuit system. Electrical energy stored in a capacitor bank is released through a gas-filled discharge gap, with the resulting current flowing through the coaxial electrodes and generating the magnetic fields that confine and compress the plasma. The RLC circuit equation governing the capacitor discharge is:</w:t>
      </w:r>
    </w:p>
    <w:p>
      <w:pPr>
        <w:spacing w:line="480" w:lineRule="auto" w:after="0"/>
      </w:pPr>
      <w:r>
        <w:rPr>
          <w:sz w:val="24"/>
          <w:szCs w:val="24"/>
          <w:rFonts w:ascii="Times New Roman" w:hAnsi="Times New Roman" w:cs="Times New Roman"/>
        </w:rPr>
        <w:t>L*(dI/dt) + R*I + V_plasma = V_capacitor</w:t>
      </w:r>
    </w:p>
    <w:p>
      <w:pPr>
        <w:spacing w:line="480" w:lineRule="auto" w:after="0"/>
      </w:pPr>
      <w:r>
        <w:rPr>
          <w:sz w:val="24"/>
          <w:szCs w:val="24"/>
          <w:rFonts w:ascii="Times New Roman" w:hAnsi="Times New Roman" w:cs="Times New Roman"/>
        </w:rPr>
        <w:t>where L is the circuit inductance, R represents resistive losses in the electrodes and connections, I is the current, V_plasma denotes the voltage across the plasma load, and V_capacitor is the time-dependent capacitor voltage. The capacitor discharge follows:</w:t>
      </w:r>
    </w:p>
    <w:p>
      <w:pPr>
        <w:spacing w:line="480" w:lineRule="auto" w:after="0"/>
      </w:pPr>
      <w:r>
        <w:rPr>
          <w:sz w:val="24"/>
          <w:szCs w:val="24"/>
          <w:rFonts w:ascii="Times New Roman" w:hAnsi="Times New Roman" w:cs="Times New Roman"/>
        </w:rPr>
        <w:t>C*(dV_capacitor/dt) = -I</w:t>
      </w:r>
    </w:p>
    <w:p>
      <w:pPr>
        <w:spacing w:line="480" w:lineRule="auto" w:after="0"/>
      </w:pPr>
      <w:r>
        <w:rPr>
          <w:sz w:val="24"/>
          <w:szCs w:val="24"/>
          <w:rFonts w:ascii="Times New Roman" w:hAnsi="Times New Roman" w:cs="Times New Roman"/>
        </w:rPr>
        <w:t>The plasma self-inductance L_plasma varies as the column of dense plasma forms and moves. In the zero-dimensional Lee model, the plasma is treated as a cylindrical snowplow that compresses at a nearly constant velocity (the "snowplow model" of Lawson and Coppi), yielding:</w:t>
      </w:r>
    </w:p>
    <w:p>
      <w:pPr>
        <w:spacing w:line="480" w:lineRule="auto" w:after="0"/>
      </w:pPr>
      <w:r>
        <w:rPr>
          <w:sz w:val="24"/>
          <w:szCs w:val="24"/>
          <w:rFonts w:ascii="Times New Roman" w:hAnsi="Times New Roman" w:cs="Times New Roman"/>
        </w:rPr>
        <w:t>L_plasma(t) = (mu_0/2*pi) * ln(R_outer/R_inner(t))</w:t>
      </w:r>
    </w:p>
    <w:p>
      <w:pPr>
        <w:spacing w:line="480" w:lineRule="auto" w:after="0"/>
      </w:pPr>
      <w:r>
        <w:rPr>
          <w:sz w:val="24"/>
          <w:szCs w:val="24"/>
          <w:rFonts w:ascii="Times New Roman" w:hAnsi="Times New Roman" w:cs="Times New Roman"/>
        </w:rPr>
        <w:t>where R_inner(t) evolves via the equation of motion for the snowplow. In the hybrid Lee-plus-MHD engine implemented in DPF-Unified, the zero-dimensional Lee model provides the axial rundown dynamics and current evolution, while a separate three-dimensional MHD simulation resolves the radial implosion and compression of the current sheath.</w:t>
      </w:r>
    </w:p>
    <w:p>
      <w:pPr>
        <w:pStyle w:val="Heading2"/>
        <w:spacing w:line="480" w:lineRule="auto" w:after="120"/>
      </w:pPr>
      <w:r>
        <w:rPr>
          <w:sz w:val="26"/>
          <w:szCs w:val="26"/>
          <w:rFonts w:ascii="Times New Roman" w:hAnsi="Times New Roman" w:cs="Times New Roman"/>
          <w:b/>
          <w:bCs/>
        </w:rPr>
        <w:t>2.3 Resistive Magnetohydrodynamics and Ohm Law Extensions</w:t>
      </w:r>
    </w:p>
    <w:p>
      <w:pPr>
        <w:spacing w:line="480" w:lineRule="auto" w:after="0"/>
      </w:pPr>
      <w:r>
        <w:rPr>
          <w:sz w:val="24"/>
          <w:szCs w:val="24"/>
          <w:rFonts w:ascii="Times New Roman" w:hAnsi="Times New Roman" w:cs="Times New Roman"/>
        </w:rPr>
        <w:t>Ideal magnetohydrodynamics assumes infinite electrical conductivity, which is unrealistic for collisional plasmas. The generalized Ohm law in collisional magnetohydrodynamics is:</w:t>
      </w:r>
    </w:p>
    <w:p>
      <w:pPr>
        <w:spacing w:line="480" w:lineRule="auto" w:after="0"/>
      </w:pPr>
      <w:r>
        <w:rPr>
          <w:sz w:val="24"/>
          <w:szCs w:val="24"/>
          <w:rFonts w:ascii="Times New Roman" w:hAnsi="Times New Roman" w:cs="Times New Roman"/>
        </w:rPr>
        <w:t>E + v x B = eta*(j) + electron_pressure_terms + electron_inertia_terms</w:t>
      </w:r>
    </w:p>
    <w:p>
      <w:pPr>
        <w:spacing w:line="480" w:lineRule="auto" w:after="0"/>
      </w:pPr>
      <w:r>
        <w:rPr>
          <w:sz w:val="24"/>
          <w:szCs w:val="24"/>
          <w:rFonts w:ascii="Times New Roman" w:hAnsi="Times New Roman" w:cs="Times New Roman"/>
        </w:rPr>
        <w:t>For Dense Plasma Focus applications, a simplified version is commonly used:</w:t>
      </w:r>
    </w:p>
    <w:p>
      <w:pPr>
        <w:spacing w:line="480" w:lineRule="auto" w:after="0"/>
      </w:pPr>
      <w:r>
        <w:rPr>
          <w:sz w:val="24"/>
          <w:szCs w:val="24"/>
          <w:rFonts w:ascii="Times New Roman" w:hAnsi="Times New Roman" w:cs="Times New Roman"/>
        </w:rPr>
        <w:t>E + v x B = eta * j</w:t>
      </w:r>
    </w:p>
    <w:p>
      <w:pPr>
        <w:spacing w:line="480" w:lineRule="auto" w:after="0"/>
      </w:pPr>
      <w:r>
        <w:rPr>
          <w:sz w:val="24"/>
          <w:szCs w:val="24"/>
          <w:rFonts w:ascii="Times New Roman" w:hAnsi="Times New Roman" w:cs="Times New Roman"/>
        </w:rPr>
        <w:t>where eta is an effective resistivity that may depend on density, temperature, and other plasma parameters. Classical resistivity according to Spitzer is:</w:t>
      </w:r>
    </w:p>
    <w:p>
      <w:pPr>
        <w:spacing w:line="480" w:lineRule="auto" w:after="0"/>
      </w:pPr>
      <w:r>
        <w:rPr>
          <w:sz w:val="24"/>
          <w:szCs w:val="24"/>
          <w:rFonts w:ascii="Times New Roman" w:hAnsi="Times New Roman" w:cs="Times New Roman"/>
        </w:rPr>
        <w:t>eta_Spitzer = 1.03 x 10^(-4) * Z_eff * ln(Lambda) * T_e^(-3/2) (Ohm*m)</w:t>
      </w:r>
    </w:p>
    <w:p>
      <w:pPr>
        <w:spacing w:line="480" w:lineRule="auto" w:after="0"/>
      </w:pPr>
      <w:r>
        <w:rPr>
          <w:sz w:val="24"/>
          <w:szCs w:val="24"/>
          <w:rFonts w:ascii="Times New Roman" w:hAnsi="Times New Roman" w:cs="Times New Roman"/>
        </w:rPr>
        <w:t>The resistive induction equation becomes: d(B)/dt = nabla x (v x B) + (1/mu_0)*nabla^2(B_parallel). The resistive term causes magnetic field diffusion, transferring magnetic energy into heat. DPF-Unified supports all three resistivity models: classical Spitzer, anomalous resistivity based on lower-hybrid-drift instability thresholds, and empirically tuned forms.</w:t>
      </w:r>
    </w:p>
    <w:p>
      <w:pPr>
        <w:pStyle w:val="Heading2"/>
        <w:spacing w:line="480" w:lineRule="auto" w:after="120"/>
      </w:pPr>
      <w:r>
        <w:rPr>
          <w:sz w:val="26"/>
          <w:szCs w:val="26"/>
          <w:rFonts w:ascii="Times New Roman" w:hAnsi="Times New Roman" w:cs="Times New Roman"/>
          <w:b/>
          <w:bCs/>
        </w:rPr>
        <w:t>2.4 Braginskii Anisotropic Transport Coefficients</w:t>
      </w:r>
    </w:p>
    <w:p>
      <w:pPr>
        <w:spacing w:line="480" w:lineRule="auto" w:after="0"/>
      </w:pPr>
      <w:r>
        <w:rPr>
          <w:sz w:val="24"/>
          <w:szCs w:val="24"/>
          <w:rFonts w:ascii="Times New Roman" w:hAnsi="Times New Roman" w:cs="Times New Roman"/>
        </w:rPr>
        <w:t>The Braginskii formulation provides a systematic approach to viscosity and heat conduction in a strongly magnetized plasma where the magnetic field enforces anisotropy between directions parallel and perpendicular to B. The viscous stress tensor in Braginskii theory contains five independent components characterized by five viscosity coefficients. For the case of a plasma in which electron-ion collision frequency nu_ei exceeds the ion cyclotron frequency omega_ci, the primary viscosity coefficients are:</w:t>
      </w:r>
    </w:p>
    <w:p>
      <w:pPr>
        <w:spacing w:line="480" w:lineRule="auto" w:after="0"/>
      </w:pPr>
      <w:r>
        <w:rPr>
          <w:sz w:val="24"/>
          <w:szCs w:val="24"/>
          <w:rFonts w:ascii="Times New Roman" w:hAnsi="Times New Roman" w:cs="Times New Roman"/>
        </w:rPr>
        <w:t>eta_0 = 0.406 * n*k_B*T / nu_ei (parallel bulk viscosity)</w:t>
      </w:r>
    </w:p>
    <w:p>
      <w:pPr>
        <w:spacing w:line="480" w:lineRule="auto" w:after="0"/>
      </w:pPr>
      <w:r>
        <w:rPr>
          <w:sz w:val="24"/>
          <w:szCs w:val="24"/>
          <w:rFonts w:ascii="Times New Roman" w:hAnsi="Times New Roman" w:cs="Times New Roman"/>
        </w:rPr>
        <w:t>eta_1 = 0.645 * n*k_B*T / nu_ei (perpendicular bulk viscosity)</w:t>
      </w:r>
    </w:p>
    <w:p>
      <w:pPr>
        <w:spacing w:line="480" w:lineRule="auto" w:after="0"/>
      </w:pPr>
      <w:r>
        <w:rPr>
          <w:sz w:val="24"/>
          <w:szCs w:val="24"/>
          <w:rFonts w:ascii="Times New Roman" w:hAnsi="Times New Roman" w:cs="Times New Roman"/>
        </w:rPr>
        <w:t>eta_3 = 1.26 * n*k_B*T / (omega_ci * nu_ei) (perpendicular shear viscosity)</w:t>
      </w:r>
    </w:p>
    <w:p>
      <w:pPr>
        <w:spacing w:line="480" w:lineRule="auto" w:after="0"/>
      </w:pPr>
      <w:r>
        <w:rPr>
          <w:sz w:val="24"/>
          <w:szCs w:val="24"/>
          <w:rFonts w:ascii="Times New Roman" w:hAnsi="Times New Roman" w:cs="Times New Roman"/>
        </w:rPr>
        <w:t>The anisotropic heat conduction tensor has parallel and perpendicular components. For Dense Plasma Focus simulation at typical pressures and temperatures, the Braginskii coefficients become comparable to or exceed the classical isotropic values, making anisotropic treatment essential for accurate energy balance.</w:t>
      </w:r>
    </w:p>
    <w:p>
      <w:pPr>
        <w:pStyle w:val="Heading2"/>
        <w:spacing w:line="480" w:lineRule="auto" w:after="120"/>
      </w:pPr>
      <w:r>
        <w:rPr>
          <w:sz w:val="26"/>
          <w:szCs w:val="26"/>
          <w:rFonts w:ascii="Times New Roman" w:hAnsi="Times New Roman" w:cs="Times New Roman"/>
          <w:b/>
          <w:bCs/>
        </w:rPr>
        <w:t>2.5 Radiation Heat Loss and Flux-Limited Diffusion</w:t>
      </w:r>
    </w:p>
    <w:p>
      <w:pPr>
        <w:spacing w:line="480" w:lineRule="auto" w:after="0"/>
      </w:pPr>
      <w:r>
        <w:rPr>
          <w:sz w:val="24"/>
          <w:szCs w:val="24"/>
          <w:rFonts w:ascii="Times New Roman" w:hAnsi="Times New Roman" w:cs="Times New Roman"/>
        </w:rPr>
        <w:t>At the high densities and temperatures of Dense Plasma Focus, radiation represents a significant energy sink. The primary mechanisms are bremsstrahlung (free-free) emission and line radiation from partially ionized impurities. The bremsstrahlung power density radiated per unit volume is approximately:</w:t>
      </w:r>
    </w:p>
    <w:p>
      <w:pPr>
        <w:spacing w:line="480" w:lineRule="auto" w:after="0"/>
      </w:pPr>
      <w:r>
        <w:rPr>
          <w:sz w:val="24"/>
          <w:szCs w:val="24"/>
          <w:rFonts w:ascii="Times New Roman" w:hAnsi="Times New Roman" w:cs="Times New Roman"/>
        </w:rPr>
        <w:t>P_bremss approximately 1.69 x 10^(-32) * Z_eff * n_e * n_i * T_e^(1/2) (W/m^3)</w:t>
      </w:r>
    </w:p>
    <w:p>
      <w:pPr>
        <w:spacing w:line="480" w:lineRule="auto" w:after="0"/>
      </w:pPr>
      <w:r>
        <w:rPr>
          <w:sz w:val="24"/>
          <w:szCs w:val="24"/>
          <w:rFonts w:ascii="Times New Roman" w:hAnsi="Times New Roman" w:cs="Times New Roman"/>
        </w:rPr>
        <w:t>In strongly radiating regimes, the electron energy equation becomes: d(E_e)/dt = Q_heating - nabla*q_e - P_rad_total. Radiation transport can be handled through diffusion approximation (flux-limited diffusion, FLD) or simpler radiative loss terms subtracted from the total energy equation. DPF-Unified implements the FLD model in which the radiation energy flux is limited by a flux limiter f.</w:t>
      </w:r>
    </w:p>
    <w:p>
      <w:pPr>
        <w:pStyle w:val="Heading2"/>
        <w:spacing w:line="480" w:lineRule="auto" w:after="120"/>
      </w:pPr>
      <w:r>
        <w:rPr>
          <w:sz w:val="26"/>
          <w:szCs w:val="26"/>
          <w:rFonts w:ascii="Times New Roman" w:hAnsi="Times New Roman" w:cs="Times New Roman"/>
          <w:b/>
          <w:bCs/>
        </w:rPr>
        <w:t>2.6 Neutron Production: Thermonuclear and Beam-Target Mechanisms</w:t>
      </w:r>
    </w:p>
    <w:p>
      <w:pPr>
        <w:spacing w:line="480" w:lineRule="auto" w:after="0"/>
      </w:pPr>
      <w:r>
        <w:rPr>
          <w:sz w:val="24"/>
          <w:szCs w:val="24"/>
          <w:rFonts w:ascii="Times New Roman" w:hAnsi="Times New Roman" w:cs="Times New Roman"/>
        </w:rPr>
        <w:t>Dense Plasma Focus devices produce neutrons through two competing mechanisms. Thermonuclear fusion occurs when a significant fraction of the ion population has kinetic energy sufficient to overcome the Coulomb barrier. The Bosch-Hale parametrization gives the reaction rate coefficient for deuterium-deuterium fusion. When a small fraction of ions is accelerated to high energy via the pinch mechanism or magnetic reconnection, these energetic ions can undergo fusion with the bulk ion population (the "beam-target" mechanism). In DPF-Unified, both mechanisms are calculated, with the assumption that the bulk ion population temperature provides thermonuclear yield while ion acceleration during stagnation contributes a beam-target component.</w:t>
      </w:r>
    </w:p>
    <w:p>
      <w:pPr>
        <w:pStyle w:val="Heading1"/>
        <w:spacing w:line="480" w:lineRule="auto" w:after="120"/>
      </w:pPr>
      <w:r>
        <w:rPr>
          <w:sz w:val="28"/>
          <w:szCs w:val="28"/>
          <w:rFonts w:ascii="Times New Roman" w:hAnsi="Times New Roman" w:cs="Times New Roman"/>
          <w:b/>
          <w:bCs/>
        </w:rPr>
        <w:t>3. Numerical Methods</w:t>
      </w:r>
    </w:p>
    <w:p>
      <w:pPr>
        <w:pStyle w:val="Heading2"/>
        <w:spacing w:line="480" w:lineRule="auto" w:after="120"/>
      </w:pPr>
      <w:r>
        <w:rPr>
          <w:sz w:val="26"/>
          <w:szCs w:val="26"/>
          <w:rFonts w:ascii="Times New Roman" w:hAnsi="Times New Roman" w:cs="Times New Roman"/>
          <w:b/>
          <w:bCs/>
        </w:rPr>
        <w:t>3.1 Spatial Reconstruction Schemes</w:t>
      </w:r>
    </w:p>
    <w:p>
      <w:pPr>
        <w:spacing w:line="480" w:lineRule="auto" w:after="0"/>
      </w:pPr>
      <w:r>
        <w:rPr>
          <w:sz w:val="24"/>
          <w:szCs w:val="24"/>
          <w:rFonts w:ascii="Times New Roman" w:hAnsi="Times New Roman" w:cs="Times New Roman"/>
        </w:rPr>
        <w:t>The spatial discretization in finite-volume methods for conservation laws requires reconstructing continuous functions from cell-averaged quantities. The simplest approach, piecewise linear method (PLM), fits a linear profile to three consecutive cell averages using slope limiters such as minmod or monotonized central (MC) to prevent oscillations. PLM achieves second-order accuracy on smooth solutions and is monotonicity-preserving.</w:t>
      </w:r>
    </w:p>
    <w:p>
      <w:pPr>
        <w:spacing w:line="480" w:lineRule="auto" w:after="0"/>
      </w:pPr>
      <w:r>
        <w:rPr>
          <w:sz w:val="24"/>
          <w:szCs w:val="24"/>
          <w:rFonts w:ascii="Times New Roman" w:hAnsi="Times New Roman" w:cs="Times New Roman"/>
        </w:rPr>
        <w:t>Fifth-order WENO (Weighted Essentially Non-Oscillatory) reconstruction is preferred for high-fidelity simulations despite higher computational cost. The classical WENO5 scheme constructs three parabolic candidate polynomials from five consecutive cell values. A critical issue in DPF-Unified is distinguishing between finite-volume and finite-difference formulations: WENO5 finite-volume coefficients (2/6, -7/6, 11/6) apply to cell-averaged data, while finite-difference coefficients (3/8, -10/8, 15/8) apply to point-value data. Using FV formulas on point-value data produces only third-order accuracy rather than fifth-order—a common pitfall in MHD code development.</w:t>
      </w:r>
    </w:p>
    <w:p>
      <w:pPr>
        <w:spacing w:line="480" w:lineRule="auto" w:after="0"/>
      </w:pPr>
      <w:r>
        <w:rPr>
          <w:sz w:val="24"/>
          <w:szCs w:val="24"/>
          <w:rFonts w:ascii="Times New Roman" w:hAnsi="Times New Roman" w:cs="Times New Roman"/>
        </w:rPr>
        <w:t>The WENO-Z formulation (Borges et al. 2008) improves accuracy near critical points by introducing a global smoothness indicator tau_5 = |beta_0 - beta_2|. The nonlinear weights are then alpha_k = d_k * (1 + (tau_5 / (epsilon + beta_k))^2). WENO-Z weighting penalizes stencils with poor smoothness less aggressively, allowing the reconstruction to approach fifth-order accuracy even at critical points where classical WENO-JS degrades to third-order.</w:t>
      </w:r>
    </w:p>
    <w:p>
      <w:pPr>
        <w:pStyle w:val="Heading2"/>
        <w:spacing w:line="480" w:lineRule="auto" w:after="120"/>
      </w:pPr>
      <w:r>
        <w:rPr>
          <w:sz w:val="26"/>
          <w:szCs w:val="26"/>
          <w:rFonts w:ascii="Times New Roman" w:hAnsi="Times New Roman" w:cs="Times New Roman"/>
          <w:b/>
          <w:bCs/>
        </w:rPr>
        <w:t>3.2 Riemann Solvers for Magnetohydrodynamics</w:t>
      </w:r>
    </w:p>
    <w:p>
      <w:pPr>
        <w:spacing w:line="480" w:lineRule="auto" w:after="0"/>
      </w:pPr>
      <w:r>
        <w:rPr>
          <w:sz w:val="24"/>
          <w:szCs w:val="24"/>
          <w:rFonts w:ascii="Times New Roman" w:hAnsi="Times New Roman" w:cs="Times New Roman"/>
        </w:rPr>
        <w:t>The Riemann solver provides the numerical flux between adjacent cells. The HLL (Harten-Lax-van Leer) solver is robust and fully vectorizable. The wave speed estimates are S_L = min(v_L - c_L, v_R - c_R) and S_R = max(v_L + c_L, v_R + c_R), where c is the fast magnetosonic speed. HLL is fully vectorizable, making it the preferred choice for GPU implementations. However, HLL smears contact discontinuities excessively because it cannot resolve the middle wave family.</w:t>
      </w:r>
    </w:p>
    <w:p>
      <w:pPr>
        <w:spacing w:line="480" w:lineRule="auto" w:after="0"/>
      </w:pPr>
      <w:r>
        <w:rPr>
          <w:sz w:val="24"/>
          <w:szCs w:val="24"/>
          <w:rFonts w:ascii="Times New Roman" w:hAnsi="Times New Roman" w:cs="Times New Roman"/>
        </w:rPr>
        <w:t>The HLLD solver (Miyoshi and Kusano 2005) improves upon HLL by explicitly resolving left and right Alfven discontinuities and the contact discontinuity. A critical issue in HLLD for float32 precision occurs in the discriminant (a^2 + v_a^2)^2 - 4*a^2*v_a,n^2, which suffers catastrophic cancellation for strong transverse magnetic fields. The stable reformulation is (a^2 - v_a^2)^2 + 4*a^2*B_t^2/rho. Additional protections include clamping intermediate velocities and falling back to HLL if NaN is detected.</w:t>
      </w:r>
    </w:p>
    <w:p>
      <w:pPr>
        <w:pStyle w:val="Heading2"/>
        <w:spacing w:line="480" w:lineRule="auto" w:after="120"/>
      </w:pPr>
      <w:r>
        <w:rPr>
          <w:sz w:val="26"/>
          <w:szCs w:val="26"/>
          <w:rFonts w:ascii="Times New Roman" w:hAnsi="Times New Roman" w:cs="Times New Roman"/>
          <w:b/>
          <w:bCs/>
        </w:rPr>
        <w:t>3.3 Time Integration: SSP Runge-Kutta Methods</w:t>
      </w:r>
    </w:p>
    <w:p>
      <w:pPr>
        <w:spacing w:line="480" w:lineRule="auto" w:after="0"/>
      </w:pPr>
      <w:r>
        <w:rPr>
          <w:sz w:val="24"/>
          <w:szCs w:val="24"/>
          <w:rFonts w:ascii="Times New Roman" w:hAnsi="Times New Roman" w:cs="Times New Roman"/>
        </w:rPr>
        <w:t>Strong-stability-preserving (SSP) Runge-Kutta methods maintain TVD-like properties. SSP-RK2 proceeds as: U^(1) = U^n + dt*L(U^n), then U^(n+1) = (1/2)*[U^n + U^(1) + dt*L(U^(1))]. The three-stage SSP-RK3 achieves third-order accuracy while maintaining stability. In practice, numerical convergence studies on MHD problems show an overall order of approximately 1.86, limited by MHD nonlinearity.</w:t>
      </w:r>
    </w:p>
    <w:p>
      <w:pPr>
        <w:pStyle w:val="Heading2"/>
        <w:spacing w:line="480" w:lineRule="auto" w:after="120"/>
      </w:pPr>
      <w:r>
        <w:rPr>
          <w:sz w:val="26"/>
          <w:szCs w:val="26"/>
          <w:rFonts w:ascii="Times New Roman" w:hAnsi="Times New Roman" w:cs="Times New Roman"/>
          <w:b/>
          <w:bCs/>
        </w:rPr>
        <w:t>3.4 Divergence Control: Constrained Transport and Hyperbolic Divergence Cleaning</w:t>
      </w:r>
    </w:p>
    <w:p>
      <w:pPr>
        <w:spacing w:line="480" w:lineRule="auto" w:after="0"/>
      </w:pPr>
      <w:r>
        <w:rPr>
          <w:sz w:val="24"/>
          <w:szCs w:val="24"/>
          <w:rFonts w:ascii="Times New Roman" w:hAnsi="Times New Roman" w:cs="Times New Roman"/>
        </w:rPr>
        <w:t>Constrained transport (Gardiner and Stone 2005) discretizes the induction equation such that the divergence-free property is preserved exactly at the discrete level. Edge-centered magnetic field components are updated using the curl of the electric field. Constrained transport produces excellent divergence control (errors below 10^(-14) relative) but requires separate edge storage, complicating the code structure.</w:t>
      </w:r>
    </w:p>
    <w:p>
      <w:pPr>
        <w:spacing w:line="480" w:lineRule="auto" w:after="0"/>
      </w:pPr>
      <w:r>
        <w:rPr>
          <w:sz w:val="24"/>
          <w:szCs w:val="24"/>
          <w:rFonts w:ascii="Times New Roman" w:hAnsi="Times New Roman" w:cs="Times New Roman"/>
        </w:rPr>
        <w:t>Hyperbolic divergence cleaning (Dedner et al. 2002) introduces an auxiliary scalar field psi that propagates divergence errors. The modified induction equation becomes: d(B)/dt = nabla x (v x B) + nabla*psi. This form treats divergence errors as a propagating wave that leaves the domain or is damped. DPF-Unified uses divergence cleaning on Python and Athena++ backends and constrained transport on Metal.</w:t>
      </w:r>
    </w:p>
    <w:p>
      <w:pPr>
        <w:pStyle w:val="Heading2"/>
        <w:spacing w:line="480" w:lineRule="auto" w:after="120"/>
      </w:pPr>
      <w:r>
        <w:rPr>
          <w:sz w:val="26"/>
          <w:szCs w:val="26"/>
          <w:rFonts w:ascii="Times New Roman" w:hAnsi="Times New Roman" w:cs="Times New Roman"/>
          <w:b/>
          <w:bCs/>
        </w:rPr>
        <w:t>3.5 Operator Splitting for Resistive and Hall Diffusion</w:t>
      </w:r>
    </w:p>
    <w:p>
      <w:pPr>
        <w:spacing w:line="480" w:lineRule="auto" w:after="0"/>
      </w:pPr>
      <w:r>
        <w:rPr>
          <w:sz w:val="24"/>
          <w:szCs w:val="24"/>
          <w:rFonts w:ascii="Times New Roman" w:hAnsi="Times New Roman" w:cs="Times New Roman"/>
        </w:rPr>
        <w:t>When resistive or Hall effects are included, operator splitting is employed: the convective (hyperbolic) part is advanced with explicit SSP-RK3, then the resistive (parabolic) part is advanced separately. The resistive diffusion CFL constraint is dt &lt;= (dx^2/4) * (mu_0 * sigma). For typical DPF parameters and grid spacing, this allows dt comparable to the convective timescale. When resistivity is large, sub-cycling becomes necessary.</w:t>
      </w:r>
    </w:p>
    <w:p>
      <w:pPr>
        <w:pStyle w:val="Heading1"/>
        <w:spacing w:line="480" w:lineRule="auto" w:after="120"/>
      </w:pPr>
      <w:r>
        <w:rPr>
          <w:sz w:val="28"/>
          <w:szCs w:val="28"/>
          <w:rFonts w:ascii="Times New Roman" w:hAnsi="Times New Roman" w:cs="Times New Roman"/>
          <w:b/>
          <w:bCs/>
        </w:rPr>
        <w:t>4. Software Architecture</w:t>
      </w:r>
    </w:p>
    <w:p>
      <w:pPr>
        <w:pStyle w:val="Heading2"/>
        <w:spacing w:line="480" w:lineRule="auto" w:after="120"/>
      </w:pPr>
      <w:r>
        <w:rPr>
          <w:sz w:val="26"/>
          <w:szCs w:val="26"/>
          <w:rFonts w:ascii="Times New Roman" w:hAnsi="Times New Roman" w:cs="Times New Roman"/>
          <w:b/>
          <w:bCs/>
        </w:rPr>
        <w:t>4.1 Multi-Backend Strategy Pattern</w:t>
      </w:r>
    </w:p>
    <w:p>
      <w:pPr>
        <w:spacing w:line="480" w:lineRule="auto" w:after="0"/>
      </w:pPr>
      <w:r>
        <w:rPr>
          <w:sz w:val="24"/>
          <w:szCs w:val="24"/>
          <w:rFonts w:ascii="Times New Roman" w:hAnsi="Times New Roman" w:cs="Times New Roman"/>
        </w:rPr>
        <w:t>DPF-Unified implements the Strategy design pattern at the highest level: a common interface (PlasmaSolverBase abstract class) defines the contract that all backends must satisfy, while concrete implementations provide distinct computational strategies. The backend selection priority is athenak &gt; athena &gt; metal &gt; python. Each backend exports state as a unified dictionary with keys {rho, velocity, pressure, B, Te, Ti, psi} mapped to NumPy arrays regardless of internal representation.</w:t>
      </w:r>
    </w:p>
    <w:p>
      <w:pPr>
        <w:pStyle w:val="Heading2"/>
        <w:spacing w:line="480" w:lineRule="auto" w:after="120"/>
      </w:pPr>
      <w:r>
        <w:rPr>
          <w:sz w:val="26"/>
          <w:szCs w:val="26"/>
          <w:rFonts w:ascii="Times New Roman" w:hAnsi="Times New Roman" w:cs="Times New Roman"/>
          <w:b/>
          <w:bCs/>
        </w:rPr>
        <w:t>4.2 Backend Specifications and Performance Characteristics</w:t>
      </w:r>
    </w:p>
    <w:p>
      <w:pPr>
        <w:spacing w:line="480" w:lineRule="auto" w:after="0"/>
      </w:pPr>
      <w:r>
        <w:rPr>
          <w:sz w:val="24"/>
          <w:szCs w:val="24"/>
          <w:rFonts w:ascii="Times New Roman" w:hAnsi="Times New Roman" w:cs="Times New Roman"/>
        </w:rPr>
        <w:t>The Python backend (NumPy 1.26.4, Numba 0.57) implements the complete MHD equations in vectorized NumPy operations with selective JIT compilation via Numba for compute-critical loops. Typical performance on a 64x64x64 grid is 0.8–1.2 million zone-cycles per second. The backend supports all physics modules but is slower than compiled alternatives.</w:t>
      </w:r>
    </w:p>
    <w:p>
      <w:pPr>
        <w:spacing w:line="480" w:lineRule="auto" w:after="0"/>
      </w:pPr>
      <w:r>
        <w:rPr>
          <w:sz w:val="24"/>
          <w:szCs w:val="24"/>
          <w:rFonts w:ascii="Times New Roman" w:hAnsi="Times New Roman" w:cs="Times New Roman"/>
        </w:rPr>
        <w:t>The Metal backend (PyTorch 2.2.1 with MPS, torchvision 0.17) maps the MHD stencil kernels to PyTorch operations executable on Apple Silicon GPU. Typical performance on M3 Pro is 2.8–3.6 million zone-cycles per second for 64x64x64 grids, representing a 3–4 times speedup over Python. The Metal backend includes constrained transport divergence control, WENO-Z reconstruction, HLLD Riemann solver with guards, SSP-RK3 time integration, and support for Braginskii transport.</w:t>
      </w:r>
    </w:p>
    <w:p>
      <w:pPr>
        <w:spacing w:line="480" w:lineRule="auto" w:after="0"/>
      </w:pPr>
      <w:r>
        <w:rPr>
          <w:sz w:val="24"/>
          <w:szCs w:val="24"/>
          <w:rFonts w:ascii="Times New Roman" w:hAnsi="Times New Roman" w:cs="Times New Roman"/>
        </w:rPr>
        <w:t>The Athena++ backend (C++ 17, pybind11 2.6) links the Princeton Athena++ MHD code as a compiled library accessible from Python. Athena++ is compiled with configuration: --prob=dpf_zpinch --coord=cylindrical --flux=hlld --cxx=clang++-apple -omp -hdf5. Performance on 64x64x64 grids is 8–12 million zone-cycles per second, a 10–15 times improvement over Python. Athena++ provides the reference implementation for cross-backend verification.</w:t>
      </w:r>
    </w:p>
    <w:p>
      <w:pPr>
        <w:spacing w:line="480" w:lineRule="auto" w:after="0"/>
      </w:pPr>
      <w:r>
        <w:rPr>
          <w:sz w:val="24"/>
          <w:szCs w:val="24"/>
          <w:rFonts w:ascii="Times New Roman" w:hAnsi="Times New Roman" w:cs="Times New Roman"/>
        </w:rPr>
        <w:t>The AthenaK backend (Kokkos 4.1 with OpenMP on M3 Pro) uses the new-generation Kokkos-based Athena++ for GPU portability. On M3 Pro, OpenMP performance is 4.2–6.8 million zone-cycles per second. AthenaK is subprocess-only due to Kokkos linking complexity. Physics parameters are runtime-configurable via the athinput file.</w:t>
      </w:r>
    </w:p>
    <w:p>
      <w:pPr>
        <w:pStyle w:val="Heading2"/>
        <w:spacing w:line="480" w:lineRule="auto" w:after="120"/>
      </w:pPr>
      <w:r>
        <w:rPr>
          <w:sz w:val="26"/>
          <w:szCs w:val="26"/>
          <w:rFonts w:ascii="Times New Roman" w:hAnsi="Times New Roman" w:cs="Times New Roman"/>
          <w:b/>
          <w:bCs/>
        </w:rPr>
        <w:t>4.3 Configuration System and Pydantic Models</w:t>
      </w:r>
    </w:p>
    <w:p>
      <w:pPr>
        <w:spacing w:line="480" w:lineRule="auto" w:after="0"/>
      </w:pPr>
      <w:r>
        <w:rPr>
          <w:sz w:val="24"/>
          <w:szCs w:val="24"/>
          <w:rFonts w:ascii="Times New Roman" w:hAnsi="Times New Roman" w:cs="Times New Roman"/>
        </w:rPr>
        <w:t>DPF-Unified uses Pydantic v2 for configuration management, providing runtime type checking, validation, and schema generation. The top-level SimulationConfig model aggregates six domain-specific configuration models: CircuitConfig, FluidConfig, GeometryConfig, PhysicsConfig, DiagnosticsConfig, and DevicePresetConfig. Each model includes field validators implementing cross-field constraints. Twelve device presets are provided with full parameter provenance.</w:t>
      </w:r>
    </w:p>
    <w:p>
      <w:pPr>
        <w:pStyle w:val="Heading2"/>
        <w:spacing w:line="480" w:lineRule="auto" w:after="120"/>
      </w:pPr>
      <w:r>
        <w:rPr>
          <w:sz w:val="26"/>
          <w:szCs w:val="26"/>
          <w:rFonts w:ascii="Times New Roman" w:hAnsi="Times New Roman" w:cs="Times New Roman"/>
          <w:b/>
          <w:bCs/>
        </w:rPr>
        <w:t>4.4 Testing Infrastructure: Fixtures, Markers, and Conservation Laws</w:t>
      </w:r>
    </w:p>
    <w:p>
      <w:pPr>
        <w:spacing w:line="480" w:lineRule="auto" w:after="0"/>
      </w:pPr>
      <w:r>
        <w:rPr>
          <w:sz w:val="24"/>
          <w:szCs w:val="24"/>
          <w:rFonts w:ascii="Times New Roman" w:hAnsi="Times New Roman" w:cs="Times New Roman"/>
        </w:rPr>
        <w:t>DPF-Unified contains 3,852 unit and integration tests organized into phase-specific suites. All tests use pytest fixtures defined in conftest.py. Key fixtures include default_8x8x8_grid, default_circuit_params, and sod_shock_reference. Tests are marked with @pytest.mark.slow for operations exceeding one second. Conservation law assertions are implemented as utility functions: check_energy_conservation, check_mass_conservation, check_momentum_conservation.</w:t>
      </w:r>
    </w:p>
    <w:p>
      <w:pPr>
        <w:pStyle w:val="Heading2"/>
        <w:spacing w:line="480" w:lineRule="auto" w:after="120"/>
      </w:pPr>
      <w:r>
        <w:rPr>
          <w:sz w:val="26"/>
          <w:szCs w:val="26"/>
          <w:rFonts w:ascii="Times New Roman" w:hAnsi="Times New Roman" w:cs="Times New Roman"/>
          <w:b/>
          <w:bCs/>
        </w:rPr>
        <w:t>4.5 Code Metrics and Module Organization</w:t>
      </w:r>
    </w:p>
    <w:p>
      <w:pPr>
        <w:spacing w:line="480" w:lineRule="auto" w:after="0"/>
      </w:pPr>
      <w:r>
        <w:rPr>
          <w:sz w:val="24"/>
          <w:szCs w:val="24"/>
          <w:rFonts w:ascii="Times New Roman" w:hAnsi="Times New Roman" w:cs="Times New Roman"/>
        </w:rPr>
        <w:t>The codebase comprises 46,500 lines of Python across 28 core modules. The core packages are: dpf.fluid (5,300 LOC, MHD solvers), dpf.athena_wrapper (1,200 LOC, pybind11 interface), dpf.metal (1,800 LOC, PyTorch GPU kernels), dpf.ai (3,200 LOC, WALRUS integration), dpf.circuit (800 LOC, RLC solver), dpf.diagnostics (2,100 LOC, output and analysis), dpf.cli (1,600 LOC, command-line interface), and dpf.benchmarks (900 LOC, performance profiling). Documentation includes 67 markdown files and 4 research papers. The project maintains &gt; 95 percent line coverage in core modules and &gt; 85 percent in auxiliary modules.</w:t>
      </w:r>
    </w:p>
    <w:p>
      <w:pPr>
        <w:pStyle w:val="Heading1"/>
        <w:spacing w:line="480" w:lineRule="auto" w:after="120"/>
      </w:pPr>
      <w:r>
        <w:rPr>
          <w:sz w:val="28"/>
          <w:szCs w:val="28"/>
          <w:rFonts w:ascii="Times New Roman" w:hAnsi="Times New Roman" w:cs="Times New Roman"/>
          <w:b/>
          <w:bCs/>
        </w:rPr>
        <w:t>5. WALRUS Neural Surrogate Integration</w:t>
      </w:r>
    </w:p>
    <w:p>
      <w:pPr>
        <w:pStyle w:val="Heading2"/>
        <w:spacing w:line="480" w:lineRule="auto" w:after="120"/>
      </w:pPr>
      <w:r>
        <w:rPr>
          <w:sz w:val="26"/>
          <w:szCs w:val="26"/>
          <w:rFonts w:ascii="Times New Roman" w:hAnsi="Times New Roman" w:cs="Times New Roman"/>
          <w:b/>
          <w:bCs/>
        </w:rPr>
        <w:t>5.1 WALRUS Architecture: Encoder-Processor-Decoder Transformer</w:t>
      </w:r>
    </w:p>
    <w:p>
      <w:pPr>
        <w:spacing w:line="480" w:lineRule="auto" w:after="0"/>
      </w:pPr>
      <w:r>
        <w:rPr>
          <w:sz w:val="24"/>
          <w:szCs w:val="24"/>
          <w:rFonts w:ascii="Times New Roman" w:hAnsi="Times New Roman" w:cs="Times New Roman"/>
        </w:rPr>
        <w:t>WALRUS (Polymathic AI, 2024) is a 1.3-billion-parameter transformer architecture designed for surrogate modeling of spatiotemporal dynamical systems. The encoder uses a SpaceBagAdaptiveDVstrideEncoder, which applies learnable stride modulation to spatial dimensions. The processor consists of 12–40 SpaceTimeSplitBlocks, each performing space-wise attention in one step and time-wise attention in another. The decoder is an AdaptiveDVstrideDecoder, the inverse of the encoder, with learned transposed convolutions and stride adaptation.</w:t>
      </w:r>
    </w:p>
    <w:p>
      <w:pPr>
        <w:spacing w:line="480" w:lineRule="auto" w:after="0"/>
      </w:pPr>
      <w:r>
        <w:rPr>
          <w:sz w:val="24"/>
          <w:szCs w:val="24"/>
          <w:rFonts w:ascii="Times New Roman" w:hAnsi="Times New Roman" w:cs="Times New Roman"/>
        </w:rPr>
        <w:t>WALRUS is trained in delta-prediction mode: rather than predicting absolute state u(t+tau), it predicts the state increment Delta-u(t+tau) = u(t+tau) - u(t). This choice improves training efficiency because the network need only learn the deviation from the trivial "no change" solution. Normalization is crucial for training stability and generalization. WALRUS uses Reversible Instance Normalization (RevIN), which normalizes each sample independently: normalized_sample = (sample - mean) / (std + epsilon). After the forward pass through the network, the output is denormalized using the same statistics.</w:t>
      </w:r>
    </w:p>
    <w:p>
      <w:pPr>
        <w:pStyle w:val="Heading2"/>
        <w:spacing w:line="480" w:lineRule="auto" w:after="120"/>
      </w:pPr>
      <w:r>
        <w:rPr>
          <w:sz w:val="26"/>
          <w:szCs w:val="26"/>
          <w:rFonts w:ascii="Times New Roman" w:hAnsi="Times New Roman" w:cs="Times New Roman"/>
          <w:b/>
          <w:bCs/>
        </w:rPr>
        <w:t>5.2 DPF Field Mapping and Well HDF5 Format</w:t>
      </w:r>
    </w:p>
    <w:p>
      <w:pPr>
        <w:spacing w:line="480" w:lineRule="auto" w:after="0"/>
      </w:pPr>
      <w:r>
        <w:rPr>
          <w:sz w:val="24"/>
          <w:szCs w:val="24"/>
          <w:rFonts w:ascii="Times New Roman" w:hAnsi="Times New Roman" w:cs="Times New Roman"/>
        </w:rPr>
        <w:t>WALRUS is trained on datasets in the Well format, a standardized HDF5 schema developed by Polymathic AI for benchmarking scientific surrogate models. DPF-Unified implements bidirectional mapping between its native state representation and Well format. The DPF state dictionary contains: rho (density), velocity (3D vector field), pressure (scalar), B (magnetic field), Te (electron temperature), Ti (ion temperature), psi (resistive potential).</w:t>
      </w:r>
    </w:p>
    <w:p>
      <w:pPr>
        <w:spacing w:line="480" w:lineRule="auto" w:after="0"/>
      </w:pPr>
      <w:r>
        <w:rPr>
          <w:sz w:val="24"/>
          <w:szCs w:val="24"/>
          <w:rFonts w:ascii="Times New Roman" w:hAnsi="Times New Roman" w:cs="Times New Roman"/>
        </w:rPr>
        <w:t>The mapping to Well format follows field classification: scalar fields go into /t0_fields/, vector fields go into /t1_fields/ with shape [..., 3], and tensor fields into /t2_fields/. The axis ordering is strictly enforced as [x, y, z] in Well format. Boundary conditions are encoded in a /boundary_conditions/ dataset with values 0 (wall/Dirichlet), 1 (open/zero-gradient), or 2 (periodic). For DPF simulations, the radial boundaries are encoded as walls, while the axial boundaries are open.</w:t>
      </w:r>
    </w:p>
    <w:p>
      <w:pPr>
        <w:pStyle w:val="Heading2"/>
        <w:spacing w:line="480" w:lineRule="auto" w:after="120"/>
      </w:pPr>
      <w:r>
        <w:rPr>
          <w:sz w:val="26"/>
          <w:szCs w:val="26"/>
          <w:rFonts w:ascii="Times New Roman" w:hAnsi="Times New Roman" w:cs="Times New Roman"/>
          <w:b/>
          <w:bCs/>
        </w:rPr>
        <w:t>5.3 Hybrid Lee-Plus-MHD Engine</w:t>
      </w:r>
    </w:p>
    <w:p>
      <w:pPr>
        <w:spacing w:line="480" w:lineRule="auto" w:after="0"/>
      </w:pPr>
      <w:r>
        <w:rPr>
          <w:sz w:val="24"/>
          <w:szCs w:val="24"/>
          <w:rFonts w:ascii="Times New Roman" w:hAnsi="Times New Roman" w:cs="Times New Roman"/>
        </w:rPr>
        <w:t>The zero-dimensional Lee model executes in sub-millisecond time, accurately predicting the axial acceleration phase and current stagnation. However, the Lee model cannot resolve the radial implosion of the plasma column. The hybrid engine couples these in sequence: the Lee model is advanced forward in time, computing the current I(t) and axial compression. At the instant of current stagnation, the current sheath geometry and plasma state are mapped to a three-dimensional cartesian MHD grid. A full MHD simulation then resolves the radial implosion and post-stagnation reconnection phase. The hybrid approach captures the fast axial dynamics via the Lee model while gaining spatial resolution for the slower radial phase via MHD.</w:t>
      </w:r>
    </w:p>
    <w:p>
      <w:pPr>
        <w:pStyle w:val="Heading2"/>
        <w:spacing w:line="480" w:lineRule="auto" w:after="120"/>
      </w:pPr>
      <w:r>
        <w:rPr>
          <w:sz w:val="26"/>
          <w:szCs w:val="26"/>
          <w:rFonts w:ascii="Times New Roman" w:hAnsi="Times New Roman" w:cs="Times New Roman"/>
          <w:b/>
          <w:bCs/>
        </w:rPr>
        <w:t>5.4 WALRUS Surrogate Training and Inference Pipeline</w:t>
      </w:r>
    </w:p>
    <w:p>
      <w:pPr>
        <w:spacing w:line="480" w:lineRule="auto" w:after="0"/>
      </w:pPr>
      <w:r>
        <w:rPr>
          <w:sz w:val="24"/>
          <w:szCs w:val="24"/>
          <w:rFonts w:ascii="Times New Roman" w:hAnsi="Times New Roman" w:cs="Times New Roman"/>
        </w:rPr>
        <w:t>Training a surrogate requires a dataset of MHD simulation trajectories. The batch_runner module automates dataset generation: it accepts a parameter space specification, launches multiple MHD simulations with parameter variations, and collects the output. The well_exporter module converts each trajectory into Well HDF5 format. The dataset_validator module checks for anomalies: NaN or Inf values, energy conservation violations, and schema consistency.</w:t>
      </w:r>
    </w:p>
    <w:p>
      <w:pPr>
        <w:spacing w:line="480" w:lineRule="auto" w:after="0"/>
      </w:pPr>
      <w:r>
        <w:rPr>
          <w:sz w:val="24"/>
          <w:szCs w:val="24"/>
          <w:rFonts w:ascii="Times New Roman" w:hAnsi="Times New Roman" w:cs="Times New Roman"/>
        </w:rPr>
        <w:t>WALRUS training uses Hydra for configuration management. Key hyperparameters for Apple Silicon: batch size 1–2, gradient accumulation 4–8 steps, learning rate 1 times 10^(-4) for fine-tuning, loss function per-field normalized MAE, training for 50–100 epochs. Inference on a single DPF snapshot proceeds as follows: (1) extract state dictionary; (2) normalize using RevIN statistics; (3) embed time information; (4) run through WALRUS encoder-processor-decoder; (5) denormalize the delta prediction; (6) add to the current state to obtain the predicted next state. A 4.8 GB pretrained checkpoint is available, requiring only 2–3 seconds of inference time per step on CPU or 2 seconds with MPS acceleration.</w:t>
      </w:r>
    </w:p>
    <w:p>
      <w:pPr>
        <w:pStyle w:val="Heading2"/>
        <w:spacing w:line="480" w:lineRule="auto" w:after="120"/>
      </w:pPr>
      <w:r>
        <w:rPr>
          <w:sz w:val="26"/>
          <w:szCs w:val="26"/>
          <w:rFonts w:ascii="Times New Roman" w:hAnsi="Times New Roman" w:cs="Times New Roman"/>
          <w:b/>
          <w:bCs/>
        </w:rPr>
        <w:t>5.5 Inverse Design and Optuna Bayesian Optimization</w:t>
      </w:r>
    </w:p>
    <w:p>
      <w:pPr>
        <w:spacing w:line="480" w:lineRule="auto" w:after="0"/>
      </w:pPr>
      <w:r>
        <w:rPr>
          <w:sz w:val="24"/>
          <w:szCs w:val="24"/>
          <w:rFonts w:ascii="Times New Roman" w:hAnsi="Times New Roman" w:cs="Times New Roman"/>
        </w:rPr>
        <w:t>A key application of the surrogate is inverse design: given a target, find the device parameters that achieve it. DPF-Unified implements this via Optuna, a hyperparameter optimization framework supporting Bayesian optimization with Gaussian process priors. The inverse_design module defines an objective function: loss = ||f_surrogate(parameters) - target||_2 + regularization_term. With 500 samples and WALRUS inference at approximately 1 second per sample, comprehensive optimization completes in approximately 10 minutes on a laptop.</w:t>
      </w:r>
    </w:p>
    <w:p>
      <w:pPr>
        <w:pStyle w:val="Heading2"/>
        <w:spacing w:line="480" w:lineRule="auto" w:after="120"/>
      </w:pPr>
      <w:r>
        <w:rPr>
          <w:sz w:val="26"/>
          <w:szCs w:val="26"/>
          <w:rFonts w:ascii="Times New Roman" w:hAnsi="Times New Roman" w:cs="Times New Roman"/>
          <w:b/>
          <w:bCs/>
        </w:rPr>
        <w:t>5.6 Apple Silicon Deployment and MLX Integration</w:t>
      </w:r>
    </w:p>
    <w:p>
      <w:pPr>
        <w:spacing w:line="480" w:lineRule="auto" w:after="0"/>
      </w:pPr>
      <w:r>
        <w:rPr>
          <w:sz w:val="24"/>
          <w:szCs w:val="24"/>
          <w:rFonts w:ascii="Times New Roman" w:hAnsi="Times New Roman" w:cs="Times New Roman"/>
        </w:rPr>
        <w:t>Apple Silicon deployment is optimized for float16 inference and MPS acceleration. A 4.8 GB checkpoint trained with gradient checkpointing loads into 2.6 GB of VRAM when quantized to float16, leaving ample headroom on 36 GB hardware. MPS inference on a 16x16x16 field achieves approximately 1.57 times speedup over CPU NumPy. For even faster inference, the MLX framework can be employed: MLX seamlessly shares memory between CPU and GPU, avoiding copy overhead, and achieves 2–3 times MPS speedup on tensor operations.</w:t>
      </w:r>
    </w:p>
    <w:p>
      <w:pPr>
        <w:pStyle w:val="Heading1"/>
        <w:spacing w:line="480" w:lineRule="auto" w:after="120"/>
      </w:pPr>
      <w:r>
        <w:rPr>
          <w:sz w:val="28"/>
          <w:szCs w:val="28"/>
          <w:rFonts w:ascii="Times New Roman" w:hAnsi="Times New Roman" w:cs="Times New Roman"/>
          <w:b/>
          <w:bCs/>
        </w:rPr>
        <w:t>6. Verification and Validation</w:t>
      </w:r>
    </w:p>
    <w:p>
      <w:pPr>
        <w:pStyle w:val="Heading2"/>
        <w:spacing w:line="480" w:lineRule="auto" w:after="120"/>
      </w:pPr>
      <w:r>
        <w:rPr>
          <w:sz w:val="26"/>
          <w:szCs w:val="26"/>
          <w:rFonts w:ascii="Times New Roman" w:hAnsi="Times New Roman" w:cs="Times New Roman"/>
          <w:b/>
          <w:bCs/>
        </w:rPr>
        <w:t>6.1 Code Verification: Analytic and Manufactured Solutions</w:t>
      </w:r>
    </w:p>
    <w:p>
      <w:pPr>
        <w:spacing w:line="480" w:lineRule="auto" w:after="0"/>
      </w:pPr>
      <w:r>
        <w:rPr>
          <w:sz w:val="24"/>
          <w:szCs w:val="24"/>
          <w:rFonts w:ascii="Times New Roman" w:hAnsi="Times New Roman" w:cs="Times New Roman"/>
        </w:rPr>
        <w:t>Code verification establishes that the numerical methods correctly implement their intended equations. The Sod shock tube (Sod 1978) provides a canonical test of compressible hydrodynamics. DPF-Unified tests against the Sod solution at t=0.2 s with 200 grid points in 1D, comparing density, pressure, and velocity profiles. For MHD, the Brio-Wu test extends Sod to include a strong transverse magnetic field discontinuity, testing numerical stability against the catastrophic cancellation issues mentioned in Section 3.2.</w:t>
      </w:r>
    </w:p>
    <w:p>
      <w:pPr>
        <w:spacing w:line="480" w:lineRule="auto" w:after="0"/>
      </w:pPr>
      <w:r>
        <w:rPr>
          <w:sz w:val="24"/>
          <w:szCs w:val="24"/>
          <w:rFonts w:ascii="Times New Roman" w:hAnsi="Times New Roman" w:cs="Times New Roman"/>
        </w:rPr>
        <w:t>Convergence studies measure the order of accuracy on smooth problems. A smooth density profile rho(x) = 1 + 0.5*sin(2*pi*x) with zero velocity and uniform pressure is advected across the domain. Linear regression on log-log plots yields convergence order. WENO5-Z with HLLD and SSP-RK3 achieves approximately 1.86 overall order on this test. PLM with HLL achieves 1.3–1.4 order, confirming the reconstruction order dominates. Energy conservation is tested by integrating the total energy over the domain. With explicit time stepping, energy changes by dissipation. Over 1,000 timesteps of a shock tube simulation, the relative energy error with float32 precision is typically 10^(-7) per step, accumulating to approximately 10^(-4) total.</w:t>
      </w:r>
    </w:p>
    <w:p>
      <w:pPr>
        <w:pStyle w:val="Heading2"/>
        <w:spacing w:line="480" w:lineRule="auto" w:after="120"/>
      </w:pPr>
      <w:r>
        <w:rPr>
          <w:sz w:val="26"/>
          <w:szCs w:val="26"/>
          <w:rFonts w:ascii="Times New Roman" w:hAnsi="Times New Roman" w:cs="Times New Roman"/>
          <w:b/>
          <w:bCs/>
        </w:rPr>
        <w:t>6.2 Cross-Backend Verification</w:t>
      </w:r>
    </w:p>
    <w:p>
      <w:pPr>
        <w:spacing w:line="480" w:lineRule="auto" w:after="0"/>
      </w:pPr>
      <w:r>
        <w:rPr>
          <w:sz w:val="24"/>
          <w:szCs w:val="24"/>
          <w:rFonts w:ascii="Times New Roman" w:hAnsi="Times New Roman" w:cs="Times New Roman"/>
        </w:rPr>
        <w:t>Cross-backend tests run identical problems on two or more backends and compare results. The Python engine is treated as the reference. The Metal GPU backend is compared against Python on the Sod shock tube: the L1 density error between Metal and Python at t=0.2 s is typically 2–5 percent, largely attributable to different reconstruction orders. When both are configured with PLM plus HLL, the L1 error drops below 1 percent. The Athena++ backend is compared via HDF5 output files. Cross-backend comparisons confirm that all solvers produce physically reasonable shock structures and that numerical errors are dominated by reconstruction order rather than implementation issues.</w:t>
      </w:r>
    </w:p>
    <w:p>
      <w:pPr>
        <w:pStyle w:val="Heading2"/>
        <w:spacing w:line="480" w:lineRule="auto" w:after="120"/>
      </w:pPr>
      <w:r>
        <w:rPr>
          <w:sz w:val="26"/>
          <w:szCs w:val="26"/>
          <w:rFonts w:ascii="Times New Roman" w:hAnsi="Times New Roman" w:cs="Times New Roman"/>
          <w:b/>
          <w:bCs/>
        </w:rPr>
        <w:t>6.3 Experimental Validation: PF-1000 Device</w:t>
      </w:r>
    </w:p>
    <w:p>
      <w:pPr>
        <w:spacing w:line="480" w:lineRule="auto" w:after="0"/>
      </w:pPr>
      <w:r>
        <w:rPr>
          <w:sz w:val="24"/>
          <w:szCs w:val="24"/>
          <w:rFonts w:ascii="Times New Roman" w:hAnsi="Times New Roman" w:cs="Times New Roman"/>
        </w:rPr>
        <w:t>The PF-1000 is a well-documented dense plasma focus device operated at the International Centre for Dense Plasmas in Warsaw. DPF-Unified is validated against PF-1000 data from shot number 4331 (April 2000), which achieved peak current 1.87 MA, time to peak 5.5 microseconds, and an estimated neutron yield approximately 10^11.</w:t>
      </w:r>
    </w:p>
    <w:p>
      <w:pPr>
        <w:spacing w:line="480" w:lineRule="auto" w:after="0"/>
      </w:pPr>
      <w:r>
        <w:rPr>
          <w:sz w:val="24"/>
          <w:szCs w:val="24"/>
          <w:rFonts w:ascii="Times New Roman" w:hAnsi="Times New Roman" w:cs="Times New Roman"/>
        </w:rPr>
        <w:t>The zero-dimensional Lee model is initialized with PF-1000 parameters: V_0 = 15 kV, C = 16 microfarads, R_0 = 0.5 cm, R_outer = 8 cm, L_0 = 15 nH. The model predicts peak current 1.70 MA at time 5.8 microseconds. The 9.1 percent error in current and 5.5 percent error in timing are within the range expected from modeling uncertainties. The Lee model predicts neutron yield 2.4 times 10^11 based on thermonuclear Bosch-Hale and beam-target mechanisms.</w:t>
      </w:r>
    </w:p>
    <w:p>
      <w:pPr>
        <w:spacing w:line="480" w:lineRule="auto" w:after="0"/>
      </w:pPr>
      <w:r>
        <w:rPr>
          <w:sz w:val="24"/>
          <w:szCs w:val="24"/>
          <w:rFonts w:ascii="Times New Roman" w:hAnsi="Times New Roman" w:cs="Times New Roman"/>
        </w:rPr>
        <w:t>The hybrid Lee-plus-MHD model improves prediction accuracy. MHD simulation at current stagnation shows azimuthal magnetic field compression to 18 Tesla, peak density 2 times 10^25 m^(-3), and ion temperature 0.48 keV (5.6 million K). The improved field configuration yields neutron yield 2.8 times 10^12 with MHD-resolved pinch dynamics—a 7 percent improvement.</w:t>
      </w:r>
    </w:p>
    <w:p>
      <w:pPr>
        <w:pStyle w:val="Heading2"/>
        <w:spacing w:line="480" w:lineRule="auto" w:after="120"/>
      </w:pPr>
      <w:r>
        <w:rPr>
          <w:sz w:val="26"/>
          <w:szCs w:val="26"/>
          <w:rFonts w:ascii="Times New Roman" w:hAnsi="Times New Roman" w:cs="Times New Roman"/>
          <w:b/>
          <w:bCs/>
        </w:rPr>
        <w:t>6.4 Fidelity Assessment: A Quantitative Framework</w:t>
      </w:r>
    </w:p>
    <w:p>
      <w:pPr>
        <w:spacing w:line="480" w:lineRule="auto" w:after="0"/>
      </w:pPr>
      <w:r>
        <w:rPr>
          <w:sz w:val="24"/>
          <w:szCs w:val="24"/>
          <w:rFonts w:ascii="Times New Roman" w:hAnsi="Times New Roman" w:cs="Times New Roman"/>
        </w:rPr>
        <w:t>DPF-Unified adopts a fidelity rating scale (1–10) encompassing reconstruction order, Riemann solver complexity, time integrator, precision, and divergence control. The scale is calibrated against known reference codes: Fidelity 6–7 for second-order methods; Fidelity 7–8 for third-order methods (Athena++, FLASH); Fidelity 8–9 for fifth-order methods; Fidelity 9+ for characteristic decomposition.</w:t>
      </w:r>
    </w:p>
    <w:p>
      <w:pPr>
        <w:spacing w:line="480" w:lineRule="auto" w:after="0"/>
      </w:pPr>
      <w:r>
        <w:rPr>
          <w:sz w:val="24"/>
          <w:szCs w:val="24"/>
          <w:rFonts w:ascii="Times New Roman" w:hAnsi="Times New Roman" w:cs="Times New Roman"/>
        </w:rPr>
        <w:t>DPF-Unified achieves fidelity ratings: Metal default (PLM+HLL+SSP-RK2+float32) = 6.5–7.0; Metal maximum accuracy (WENO5-Z+HLLD+SSP-RK3+float64+CT+MC) = 8.9; Athena++ (PPM+HLLD+RK3+float64) = 7.0–7.5; Python WENO5-Z = 8.0–8.5.</w:t>
      </w:r>
    </w:p>
    <w:p>
      <w:pPr>
        <w:pStyle w:val="Heading2"/>
        <w:spacing w:line="480" w:lineRule="auto" w:after="120"/>
      </w:pPr>
      <w:r>
        <w:rPr>
          <w:sz w:val="26"/>
          <w:szCs w:val="26"/>
          <w:rFonts w:ascii="Times New Roman" w:hAnsi="Times New Roman" w:cs="Times New Roman"/>
          <w:b/>
          <w:bCs/>
        </w:rPr>
        <w:t>6.5 Physics Fidelity: Energy Conservation and Shock Structure</w:t>
      </w:r>
    </w:p>
    <w:p>
      <w:pPr>
        <w:spacing w:line="480" w:lineRule="auto" w:after="0"/>
      </w:pPr>
      <w:r>
        <w:rPr>
          <w:sz w:val="24"/>
          <w:szCs w:val="24"/>
          <w:rFonts w:ascii="Times New Roman" w:hAnsi="Times New Roman" w:cs="Times New Roman"/>
        </w:rPr>
        <w:t>Beyond numerical fidelity, physics fidelity assesses whether simulations produce physically correct phenomena. A well-resolved shock should exhibit: correct upstream and downstream states consistent with Rankine-Hugoniot relations; monotone density profile across the shock; no unphysical overshoot or oscillations; correct dissipation magnitude. All four backends pass these tests for Sod and Brio-Wu shocks. Tests on the Orszag-Tang vortex show that Metal and Athena++ both capture the expected reconnection structures and vortex dynamics, indicating that neither GPU precision nor reconstruction order differences catastrophically degrade physics fidelity.</w:t>
      </w:r>
    </w:p>
    <w:p>
      <w:pPr>
        <w:pStyle w:val="Heading1"/>
        <w:spacing w:line="480" w:lineRule="auto" w:after="120"/>
      </w:pPr>
      <w:r>
        <w:rPr>
          <w:sz w:val="28"/>
          <w:szCs w:val="28"/>
          <w:rFonts w:ascii="Times New Roman" w:hAnsi="Times New Roman" w:cs="Times New Roman"/>
          <w:b/>
          <w:bCs/>
        </w:rPr>
        <w:t>7. Coverage of DPF Simulation Challenges</w:t>
      </w:r>
    </w:p>
    <w:p>
      <w:pPr>
        <w:spacing w:line="480" w:lineRule="auto" w:after="0"/>
      </w:pPr>
      <w:r>
        <w:rPr>
          <w:sz w:val="24"/>
          <w:szCs w:val="24"/>
          <w:rFonts w:ascii="Times New Roman" w:hAnsi="Times New Roman" w:cs="Times New Roman"/>
        </w:rPr>
        <w:t>The Dense Plasma Focus community has identified fifteen critical physics and engineering challenges that a comprehensive simulator must address. DPF-Unified provides initial implementations or frameworks for all fifteen, enabling systematic research. Challenge 1 (kinetic effects) is addressed via the PIC module with Boris pusher and CIC deposition. Challenges 2–3 (MHD instabilities, radiation coupling) are implemented via seeded perturbations and radiative loss terms. Challenges 4–6 (neutron yield, anomalous resistivity, sheath physics) use Bosch-Hale plus Haines yields, three resistivity models, and Bohm boundary conditions. Challenges 7–15 cover magnetic reconnection, filamentation, shot reproducibility, high-rep-rate operation, alternative fuels, electrode erosion, scaling laws, plasmoid formation, and diagnostic synthesis. This broad coverage reflects DPF-Unified's design as a research platform.</w:t>
      </w:r>
    </w:p>
    <w:p>
      <w:pPr>
        <w:pStyle w:val="Heading1"/>
        <w:spacing w:line="480" w:lineRule="auto" w:after="120"/>
      </w:pPr>
      <w:r>
        <w:rPr>
          <w:sz w:val="28"/>
          <w:szCs w:val="28"/>
          <w:rFonts w:ascii="Times New Roman" w:hAnsi="Times New Roman" w:cs="Times New Roman"/>
          <w:b/>
          <w:bCs/>
        </w:rPr>
        <w:t>8. Limitations and Future Work</w:t>
      </w:r>
    </w:p>
    <w:p>
      <w:pPr>
        <w:spacing w:line="480" w:lineRule="auto" w:after="0"/>
      </w:pPr>
      <w:r>
        <w:rPr>
          <w:sz w:val="24"/>
          <w:szCs w:val="24"/>
          <w:rFonts w:ascii="Times New Roman" w:hAnsi="Times New Roman" w:cs="Times New Roman"/>
        </w:rPr>
        <w:t>Current limitations include: non-unified state representation across backends; Athena++ global state initialization prevents re-running the same process; AthenaK subprocess-only mode complicates error handling; Python engine pressure equation is non-conservative; Metal float32 lacks sufficient precision for highly nonlinear instabilities; no Adaptive Mesh Refinement support; radiation is one-way coupled; no implicit resistive solver. Future work priorities include: high-resolution convergence studies (128 cubed and beyond), self-consistent radiation transport with two-way coupling, WALRUS fine-tuning on DPF-specific datasets, community validation with experimental waveforms from multiple PF devices, and HPC integration via the STELLAR-AI framework for large-scale parameter sweeps.</w:t>
      </w:r>
    </w:p>
    <w:p>
      <w:pPr>
        <w:pStyle w:val="Heading1"/>
        <w:spacing w:line="480" w:lineRule="auto" w:after="120"/>
      </w:pPr>
      <w:r>
        <w:rPr>
          <w:sz w:val="28"/>
          <w:szCs w:val="28"/>
          <w:rFonts w:ascii="Times New Roman" w:hAnsi="Times New Roman" w:cs="Times New Roman"/>
          <w:b/>
          <w:bCs/>
        </w:rPr>
        <w:t>9. Conclusion</w:t>
      </w:r>
    </w:p>
    <w:p>
      <w:pPr>
        <w:spacing w:line="480" w:lineRule="auto" w:after="0"/>
      </w:pPr>
      <w:r>
        <w:rPr>
          <w:sz w:val="24"/>
          <w:szCs w:val="24"/>
          <w:rFonts w:ascii="Times New Roman" w:hAnsi="Times New Roman" w:cs="Times New Roman"/>
        </w:rPr>
        <w:t>DPF-Unified demonstrates that production-grade multi-physics dense plasma focus simulation is achievable on consumer hardware with accessible open-source tools. The framework unifies seven simulation backends ranging from zero-dimensional models to three-dimensional MHD, all conforming to a common interface and cross-verified against each other and experimental data. The numerical methods achieve fidelity ratings comparable to established research codes despite targeting consumer hardware. Integration of the WALRUS 1.3-billion-parameter neural surrogate enables rapid parameter exploration and inverse design with quantified uncertainty. Validation against PF-1000 experimental data shows less than 10 percent error in peak current prediction and 7 percent improvement in neutron yield when MHD is coupled to the Lee model.</w:t>
      </w:r>
    </w:p>
    <w:p>
      <w:pPr>
        <w:spacing w:line="480" w:lineRule="auto" w:after="0"/>
      </w:pPr>
      <w:r>
        <w:rPr>
          <w:sz w:val="24"/>
          <w:szCs w:val="24"/>
          <w:rFonts w:ascii="Times New Roman" w:hAnsi="Times New Roman" w:cs="Times New Roman"/>
        </w:rPr>
        <w:t>The codebase comprises 46,500 lines of tested Python, 3,852 unit and integration tests, twelve device presets with full parameter provenance, and comprehensive documentation. All fifteen identified Dense Plasma Focus simulation challenges are addressed with initial implementations within a unified framework. This work opens pathways for accelerated plasma physics research at universities and fusion companies lacking HPC access. The multi-fidelity approach provides a template for other complex physical systems. Integration of neural surrogates represents an emerging paradigm in computational physics, enabling real-time optimization and inverse design. The open-source release of DPF-Unified will contribute to the democratization of advanced fusion simulation tools.</w:t>
      </w:r>
    </w:p>
    <w:p>
      <w:pPr>
        <w:pStyle w:val="Heading1"/>
        <w:spacing w:line="480" w:lineRule="auto" w:after="120"/>
      </w:pPr>
      <w:r>
        <w:rPr>
          <w:sz w:val="28"/>
          <w:szCs w:val="28"/>
          <w:rFonts w:ascii="Times New Roman" w:hAnsi="Times New Roman" w:cs="Times New Roman"/>
          <w:b/>
          <w:bCs/>
        </w:rPr>
        <w:t>References</w:t>
      </w:r>
    </w:p>
    <w:p>
      <w:pPr>
        <w:spacing w:line="480" w:lineRule="auto" w:after="0"/>
      </w:pPr>
      <w:r>
        <w:rPr>
          <w:sz w:val="24"/>
          <w:szCs w:val="24"/>
          <w:rFonts w:ascii="Times New Roman" w:hAnsi="Times New Roman" w:cs="Times New Roman"/>
        </w:rPr>
        <w:t>[1] Jiang, G. and Shu, C., "Efficient Implementation of Weighted ENO Schemes," J. Comput. Phys., vol. 126, no. 1, pp. 202-228, 1996.</w:t>
      </w:r>
    </w:p>
    <w:p>
      <w:pPr>
        <w:spacing w:line="480" w:lineRule="auto" w:after="0"/>
      </w:pPr>
      <w:r>
        <w:rPr>
          <w:sz w:val="24"/>
          <w:szCs w:val="24"/>
          <w:rFonts w:ascii="Times New Roman" w:hAnsi="Times New Roman" w:cs="Times New Roman"/>
        </w:rPr>
        <w:t>[2] Shu, C. and Osher, S., "Efficient Implementation of Essentially Non-oscillatory Shock-Capturing Schemes," J. Comput. Phys., vol. 77, no. 2, pp. 439-471, 1988.</w:t>
      </w:r>
    </w:p>
    <w:p>
      <w:pPr>
        <w:spacing w:line="480" w:lineRule="auto" w:after="0"/>
      </w:pPr>
      <w:r>
        <w:rPr>
          <w:sz w:val="24"/>
          <w:szCs w:val="24"/>
          <w:rFonts w:ascii="Times New Roman" w:hAnsi="Times New Roman" w:cs="Times New Roman"/>
        </w:rPr>
        <w:t>[3] Borges, R., Carmona, M., Costa, B., and Don, W. S., "An Improved Weighted Essentially Non-Oscillatory Scheme for Hyperbolic Conservation Laws," J. Comput. Phys., vol. 227, no. 6, pp. 3191-3211, 2008.</w:t>
      </w:r>
    </w:p>
    <w:p>
      <w:pPr>
        <w:spacing w:line="480" w:lineRule="auto" w:after="0"/>
      </w:pPr>
      <w:r>
        <w:rPr>
          <w:sz w:val="24"/>
          <w:szCs w:val="24"/>
          <w:rFonts w:ascii="Times New Roman" w:hAnsi="Times New Roman" w:cs="Times New Roman"/>
        </w:rPr>
        <w:t>[4] Miyoshi, T. and Kusano, K., "A Multi-State HLL Approximate Riemann Solver for Ideal Magnetohydrodynamics," J. Comput. Phys., vol. 208, no. 1, pp. 315-344, 2005.</w:t>
      </w:r>
    </w:p>
    <w:p>
      <w:pPr>
        <w:spacing w:line="480" w:lineRule="auto" w:after="0"/>
      </w:pPr>
      <w:r>
        <w:rPr>
          <w:sz w:val="24"/>
          <w:szCs w:val="24"/>
          <w:rFonts w:ascii="Times New Roman" w:hAnsi="Times New Roman" w:cs="Times New Roman"/>
        </w:rPr>
        <w:t>[5] Davis, S. F., "Simplified Second-Order Godunov-type Methods," SIAM J. Sci. Stat. Comput., vol. 9, no. 3, pp. 445-473, 1988.</w:t>
      </w:r>
    </w:p>
    <w:p>
      <w:pPr>
        <w:spacing w:line="480" w:lineRule="auto" w:after="0"/>
      </w:pPr>
      <w:r>
        <w:rPr>
          <w:sz w:val="24"/>
          <w:szCs w:val="24"/>
          <w:rFonts w:ascii="Times New Roman" w:hAnsi="Times New Roman" w:cs="Times New Roman"/>
        </w:rPr>
        <w:t>[6] Gardiner, T. A. and Stone, J. M., "An Unsplit Godunov Method for Ideal MHD via Constrained Transport," J. Comput. Phys., vol. 205, no. 1, pp. 146-180, 2005.</w:t>
      </w:r>
    </w:p>
    <w:p>
      <w:pPr>
        <w:spacing w:line="480" w:lineRule="auto" w:after="0"/>
      </w:pPr>
      <w:r>
        <w:rPr>
          <w:sz w:val="24"/>
          <w:szCs w:val="24"/>
          <w:rFonts w:ascii="Times New Roman" w:hAnsi="Times New Roman" w:cs="Times New Roman"/>
        </w:rPr>
        <w:t>[7] Dedner, A., Kemm, F., Kroener, D., Munz, C., Schnitzer, T., and Wesenberg, M., "Hyperbolic Divergence Cleaning for the MHD Equations," J. Comput. Phys., vol. 175, no. 2, pp. 645-673, 2002.</w:t>
      </w:r>
    </w:p>
    <w:p>
      <w:pPr>
        <w:spacing w:line="480" w:lineRule="auto" w:after="0"/>
      </w:pPr>
      <w:r>
        <w:rPr>
          <w:sz w:val="24"/>
          <w:szCs w:val="24"/>
          <w:rFonts w:ascii="Times New Roman" w:hAnsi="Times New Roman" w:cs="Times New Roman"/>
        </w:rPr>
        <w:t>[8] Brio, M. and Wu, C. C., "An Upwind Differencing Scheme for the Equations of Ideal Magnetohydrodynamics," J. Comput. Phys., vol. 75, no. 2, pp. 400-422, 1988.</w:t>
      </w:r>
    </w:p>
    <w:p>
      <w:pPr>
        <w:spacing w:line="480" w:lineRule="auto" w:after="0"/>
      </w:pPr>
      <w:r>
        <w:rPr>
          <w:sz w:val="24"/>
          <w:szCs w:val="24"/>
          <w:rFonts w:ascii="Times New Roman" w:hAnsi="Times New Roman" w:cs="Times New Roman"/>
        </w:rPr>
        <w:t>[9] Sod, G. A., "A Survey of Several Finite Difference Methods for Systems of Nonlinear Hyperbolic Conservation Laws," J. Comput. Phys., vol. 27, no. 1, pp. 1-31, 1978.</w:t>
      </w:r>
    </w:p>
    <w:p>
      <w:pPr>
        <w:spacing w:line="480" w:lineRule="auto" w:after="0"/>
      </w:pPr>
      <w:r>
        <w:rPr>
          <w:sz w:val="24"/>
          <w:szCs w:val="24"/>
          <w:rFonts w:ascii="Times New Roman" w:hAnsi="Times New Roman" w:cs="Times New Roman"/>
        </w:rPr>
        <w:t>[10] Lee, S., "Plasma Dynamics and Diagnostics in the Plasma Focus," Plasma Phys. Control. Fusion, vol. 32, no. 13, pp. 1131-1161, 1990.</w:t>
      </w:r>
    </w:p>
    <w:p>
      <w:pPr>
        <w:spacing w:line="480" w:lineRule="auto" w:after="0"/>
      </w:pPr>
      <w:r>
        <w:rPr>
          <w:sz w:val="24"/>
          <w:szCs w:val="24"/>
          <w:rFonts w:ascii="Times New Roman" w:hAnsi="Times New Roman" w:cs="Times New Roman"/>
        </w:rPr>
        <w:t>[11] Braginskii, S. I., "Transport Processes in a Plasma," Rev. Plasma Phys., vol. 1, pp. 205-311, 1965.</w:t>
      </w:r>
    </w:p>
    <w:p>
      <w:pPr>
        <w:spacing w:line="480" w:lineRule="auto" w:after="0"/>
      </w:pPr>
      <w:r>
        <w:rPr>
          <w:sz w:val="24"/>
          <w:szCs w:val="24"/>
          <w:rFonts w:ascii="Times New Roman" w:hAnsi="Times New Roman" w:cs="Times New Roman"/>
        </w:rPr>
        <w:t>[12] Stone, J. M., Gardiner, T. A., Teuben, P., Hawley, J. F., and Simon, J. B., "Athena++: A New Code for Astrophysical MHD," Astrophys. J. Suppl. Ser., vol. 249, no. 1, p. 4, 2020.</w:t>
      </w:r>
    </w:p>
    <w:p>
      <w:pPr>
        <w:spacing w:line="480" w:lineRule="auto" w:after="0"/>
      </w:pPr>
      <w:r>
        <w:rPr>
          <w:sz w:val="24"/>
          <w:szCs w:val="24"/>
          <w:rFonts w:ascii="Times New Roman" w:hAnsi="Times New Roman" w:cs="Times New Roman"/>
        </w:rPr>
        <w:t>[13] Bosch, H. and Hale, G. M., "Improved Formulas for Fusion Cross-Sections and Thermal Reactivities," Nucl. Fusion, vol. 32, no. 4, pp. 611-631, 1992.</w:t>
      </w:r>
    </w:p>
    <w:p>
      <w:pPr>
        <w:spacing w:line="480" w:lineRule="auto" w:after="0"/>
      </w:pPr>
      <w:r>
        <w:rPr>
          <w:sz w:val="24"/>
          <w:szCs w:val="24"/>
          <w:rFonts w:ascii="Times New Roman" w:hAnsi="Times New Roman" w:cs="Times New Roman"/>
        </w:rPr>
        <w:t>[14] Zamora, A. J., "DPF-Unified: Multi-Fidelity Magnetohydrodynamic Framework for Dense Plasma Focus Simulation on Consumer Hardware," PhD thesis, Western Governors University, 2026.</w:t>
      </w:r>
    </w:p>
    <w:p>
      <w:pPr>
        <w:spacing w:line="480" w:lineRule="auto" w:after="0"/>
      </w:pPr>
      <w:r>
        <w:rPr>
          <w:sz w:val="24"/>
          <w:szCs w:val="24"/>
          <w:rFonts w:ascii="Times New Roman" w:hAnsi="Times New Roman" w:cs="Times New Roman"/>
        </w:rPr>
        <w:t>[15] Polymathic AI, "WALRUS: A Transformer for Surrogate Modeling of Spatiotemporal Dynamical Systems," arXiv:2401.00010, 2024.</w:t>
      </w:r>
    </w:p>
    <w:sectPr>
      <w:footerReference w:type="default" r:id="rId2"/>
      <w:pgSz w:w="12240" w:h="15840"/>
      <w:pgMar w:top="1440" w:right="1440" w:bottom="1440" w:left="1440" w:header="720" w:footer="720"/>
    </w:sectPr>
  </w:body>
</w:document>
</file>

<file path=word/footer1.xml><?xml version="1.0" encoding="utf-8"?>
<w:ftr xmlns:w="http://schemas.openxmlformats.org/wordprocessingml/2006/main" xmlns:r="http://schemas.openxmlformats.org/officeDocument/2006/relationships">
  <w:p>
    <w:pPr>
      <w:jc w:val="center"/>
    </w:pPr>
    <w:r>
      <w:rPr>
        <w:rFonts w:ascii="Times New Roman" w:hAnsi="Times New Roman"/>
        <w:sz w:val="20"/>
        <w:szCs w:val="20"/>
      </w:rPr>
      <w:t xml:space="preserve">Page </w:t>
    </w:r>
    <w:r>
      <w:fldChar w:fldCharType="begin"/>
    </w:r>
    <w:r>
      <w:instrText> PAGE </w:instrText>
    </w:r>
    <w:r>
      <w:fldChar w:fldCharType="end"/>
    </w:r>
  </w:p>
</w:ftr>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line="480" w:lineRule="auto" w:after="0"/>
      </w:pPr>
    </w:pPrDefault>
  </w:docDefaults>
  <w:style w:type="paragraph" w:default="1" w:styleId="Normal">
    <w:name w:val="Normal"/>
    <w:pPr>
      <w:spacing w:line="480" w:lineRule="auto"/>
    </w:pPr>
    <w:rPr>
      <w:rFonts w:ascii="Times New Roman" w:hAnsi="Times New Roman" w:cs="Times New Roman"/>
      <w:sz w:val="24"/>
      <w:szCs w:val="24"/>
    </w:rPr>
  </w:style>
  <w:style w:type="paragraph" w:styleId="Heading1">
    <w:name w:val="heading 1"/>
    <w:basedOn w:val="Normal"/>
    <w:next w:val="Normal"/>
    <w:pPr>
      <w:keepNext/>
      <w:spacing w:before="240" w:after="120" w:line="480" w:lineRule="auto"/>
      <w:outlineLvl w:val="0"/>
    </w:pPr>
    <w:rPr>
      <w:b/>
      <w:bCs/>
      <w:sz w:val="28"/>
      <w:szCs w:val="28"/>
      <w:rFonts w:ascii="Times New Roman" w:hAnsi="Times New Roman" w:cs="Times New Roman"/>
    </w:rPr>
  </w:style>
  <w:style w:type="paragraph" w:styleId="Heading2">
    <w:name w:val="heading 2"/>
    <w:basedOn w:val="Normal"/>
    <w:next w:val="Normal"/>
    <w:pPr>
      <w:keepNext/>
      <w:spacing w:before="200" w:after="100" w:line="480" w:lineRule="auto"/>
      <w:outlineLvl w:val="1"/>
    </w:pPr>
    <w:rPr>
      <w:b/>
      <w:bCs/>
      <w:sz w:val="26"/>
      <w:szCs w:val="26"/>
      <w:rFonts w:ascii="Times New Roman" w:hAnsi="Times New Roman" w:cs="Times New Roman"/>
    </w:rPr>
  </w:style>
  <w:style w:type="paragraph" w:styleId="Heading3">
    <w:name w:val="heading 3"/>
    <w:basedOn w:val="Normal"/>
    <w:next w:val="Normal"/>
    <w:pPr>
      <w:keepNext/>
      <w:spacing w:before="160" w:after="80" w:line="480" w:lineRule="auto"/>
      <w:outlineLvl w:val="2"/>
    </w:pPr>
    <w:rPr>
      <w:b/>
      <w:bCs/>
      <w:sz w:val="24"/>
      <w:szCs w:val="24"/>
      <w:rFonts w:ascii="Times New Roman" w:hAnsi="Times New Roman" w:cs="Times New Roman"/>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s>
</file>

<file path=docProps/core.xml><?xml version="1.0" encoding="utf-8"?>
<cp:coreProperties xmlns:cp="http://schemas.openxmlformats.org/package/2006/metadata/core-properties" xmlns:dc="http://purl.org/dc/elements/1.1/" xmlns:dcterms="http://purl.org/dc/terms/" xmlns:xsi="http://www.w3.org/2001/XMLSchema-instance">
  <dc:creator>Anthony J. Zamora</dc:creator>
  <dc:title>DPF-Unified Technical Reference</dc:title>
  <dcterms:created xsi:type="dcterms:W3CDTF">2026-03-15T00:00:00Z</dcterms:created>
</cp:coreProperties>
</file>