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line="288" w:lineRule="auto"/>
        <w:jc w:val="center"/>
      </w:pPr>
      <w:r>
        <w:rPr>
          <w:rFonts w:ascii="Calibri" w:hAnsi="Calibri"/>
          <w:b/>
          <w:i w:val="0"/>
          <w:color w:val="2F5496"/>
          <w:sz w:val="48"/>
        </w:rPr>
        <w:t>HỌC SINH GÂY RA BẠO LỰC HỌC ĐƯỜNG</w:t>
      </w:r>
    </w:p>
    <w:p>
      <w:pPr>
        <w:spacing w:before="0" w:after="720" w:line="288" w:lineRule="auto"/>
        <w:jc w:val="center"/>
      </w:pPr>
      <w:r>
        <w:rPr>
          <w:rFonts w:ascii="Calibri" w:hAnsi="Calibri"/>
          <w:b w:val="0"/>
          <w:i/>
          <w:color w:val="595959"/>
          <w:sz w:val="28"/>
        </w:rPr>
        <w:t>Khung Lý Thuyết Hệ Thống, Nhận Diện Hành Vi,</w:t>
        <w:br/>
        <w:t>Phương Pháp Kỷ Luật Tích Cực và Kịch Bản Can Thiệp Học Đường</w:t>
      </w:r>
    </w:p>
    <w:p>
      <w:pPr>
        <w:spacing w:before="0" w:after="3000" w:line="276" w:lineRule="auto"/>
        <w:jc w:val="center"/>
      </w:pPr>
      <w:r>
        <w:rPr>
          <w:color w:val="B4B4B4"/>
        </w:rPr>
        <w:t>____________________________________________________</w:t>
      </w:r>
    </w:p>
    <w:p>
      <w:pPr>
        <w:spacing w:before="0" w:after="120" w:line="276" w:lineRule="auto"/>
        <w:jc w:val="center"/>
      </w:pPr>
      <w:r>
        <w:rPr>
          <w:rFonts w:ascii="Calibri" w:hAnsi="Calibri"/>
          <w:b/>
          <w:i w:val="0"/>
          <w:color w:val="2F5496"/>
          <w:sz w:val="20"/>
        </w:rPr>
        <w:t>TÀI LIỆU KHẢO CỨU DÀNH CHO GIÁO VIÊN VÀ QUẢN TRỊ VIÊN HỆ THỐNG AI</w:t>
        <w:br/>
      </w:r>
      <w:r>
        <w:rPr>
          <w:rFonts w:ascii="Calibri" w:hAnsi="Calibri"/>
          <w:b w:val="0"/>
          <w:i/>
          <w:color w:val="595959"/>
          <w:sz w:val="20"/>
        </w:rPr>
        <w:t>Cơ sở dữ liệu hỗ trợ truy vấn (RAG Chatbot) phục vụ Đề án Trường học An toàn, Thân thiện và Bình đẳng</w:t>
        <w:br/>
      </w:r>
      <w:r>
        <w:rPr>
          <w:rFonts w:ascii="Calibri" w:hAnsi="Calibri"/>
          <w:b w:val="0"/>
          <w:i w:val="0"/>
          <w:color w:val="7F7F7F"/>
          <w:sz w:val="19"/>
        </w:rPr>
        <w:t>Biên soạn dựa trên Giáo trình THCS và Cẩm nang Phụ huynh của Dự án Plan International</w:t>
      </w:r>
    </w:p>
    <w:p>
      <w:r>
        <w:br w:type="page"/>
      </w:r>
    </w:p>
    <w:p>
      <w:pPr>
        <w:jc w:val="center"/>
      </w:pPr>
      <w:r>
        <w:rPr>
          <w:b/>
          <w:color w:val="2F5496"/>
          <w:sz w:val="28"/>
        </w:rPr>
        <w:t>MỤC LỤC CHI TIẾT</w:t>
        <w:br/>
      </w:r>
    </w:p>
    <w:p>
      <w:pPr>
        <w:jc w:val="left"/>
      </w:pPr>
      <w:r>
        <w:fldChar w:fldCharType="begin"/>
        <w:instrText xml:space="preserve">TOC \o "1-3" \h \z \u</w:instrText>
        <w:fldChar w:fldCharType="end"/>
      </w:r>
    </w:p>
    <w:p>
      <w:r>
        <w:br w:type="page"/>
      </w:r>
    </w:p>
    <w:p>
      <w:pPr>
        <w:pStyle w:val="Heading1"/>
        <w:keepNext/>
        <w:spacing w:before="240" w:after="240" w:line="276" w:lineRule="auto"/>
      </w:pPr>
      <w:r>
        <w:rPr>
          <w:rFonts w:ascii="Calibri" w:hAnsi="Calibri"/>
          <w:b/>
          <w:i w:val="0"/>
          <w:color w:val="2F5496"/>
          <w:sz w:val="32"/>
        </w:rPr>
        <w:t>PHẦN I: BẢN CHẤT HÀNH VI VÀ CHÂN DUNG TÂM LÝ HỌC SINH GÂY BẠO LỰC</w:t>
      </w:r>
    </w:p>
    <w:p>
      <w:pPr>
        <w:spacing w:before="0" w:after="120" w:line="276" w:lineRule="auto"/>
      </w:pPr>
      <w:r>
        <w:t>Bạo lực học đường và hành vi bắt nạt bắt nguồn từ sự tương tác phức tạp giữa các đặc điểm tâm sinh lý cá nhân và môi trường xã hội xung quanh học sinh. Để giáo dục hiệu quả, trước hết người làm công tác sư phạm hoặc hệ thống trí tuệ nhân tạo (AI) phải hiểu rõ bản chất hành vi, phân biệt các khái niệm then chốt và định hình được cấu trúc tâm lý của học sinh gây ra bạo lực học đường.</w:t>
      </w:r>
    </w:p>
    <w:p>
      <w:pPr>
        <w:pStyle w:val="Heading2"/>
        <w:keepNext/>
        <w:spacing w:before="240" w:after="120" w:line="276" w:lineRule="auto"/>
      </w:pPr>
      <w:r>
        <w:rPr>
          <w:rFonts w:ascii="Calibri" w:hAnsi="Calibri"/>
          <w:b/>
          <w:i w:val="0"/>
          <w:color w:val="2F5496"/>
          <w:sz w:val="26"/>
        </w:rPr>
        <w:t>1.1 Định nghĩa Bắt nạt học đường và Bạo lực học đường</w:t>
      </w:r>
    </w:p>
    <w:p>
      <w:pPr>
        <w:spacing w:before="0" w:after="120" w:line="276" w:lineRule="auto"/>
      </w:pPr>
      <w:r>
        <w:rPr>
          <w:b/>
        </w:rPr>
        <w:t xml:space="preserve">Bắt nạt học đường </w:t>
      </w:r>
      <w:r>
        <w:t>được định nghĩa cụ thể là hành vi tiêu cực được lặp đi lặp lại, có ý định xấu của một hoặc nhiều học sinh nhằm trực tiếp chống lại một học sinh khác, người vốn có khó khăn trong việc tự bảo vệ bản thân mình. Hành vi bắt nạt này tạo ra trạng thái căng thẳng, lo sợ hoặc gây ra thương tổn trực tiếp về thể chất và danh dự của nạn nhân.</w:t>
      </w:r>
    </w:p>
    <w:p>
      <w:pPr>
        <w:spacing w:before="0" w:after="120" w:line="276" w:lineRule="auto"/>
      </w:pPr>
      <w:r>
        <w:rPr>
          <w:b/>
        </w:rPr>
        <w:t xml:space="preserve">Bạo lực học đường </w:t>
      </w:r>
      <w:r>
        <w:t>bao gồm các hành vi hành hạ, ngược đãi, đánh đập; xâm hại thân thể, sức khỏe; lăng mạ, xúc phạm danh dự, nhân phẩm; cô lập, xua đuổi và các hành vi cố ý khác gây tổn hại về thể chất, tinh thần của người học xảy ra trong cơ sở giáo dục hoặc lớp độc lập.</w:t>
      </w:r>
    </w:p>
    <w:p>
      <w:pPr>
        <w:spacing w:before="0" w:after="120" w:line="276" w:lineRule="auto"/>
      </w:pPr>
      <w:r>
        <w:t>Mặc dù bạo lực và bắt nạt thường được đồng nhất trên phương diện truyền thông, chúng có những điểm khác biệt bản chất mang tính hệ thống cần được phân tách rõ ràng để AI có thể thực hiện truy vấn và phân loại chính xác:</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2F5496"/>
            <w:tcMar>
              <w:top w:w="120" w:type="dxa"/>
              <w:bottom w:w="120" w:type="dxa"/>
              <w:left w:w="150" w:type="dxa"/>
              <w:right w:w="150" w:type="dxa"/>
            </w:tcMar>
          </w:tcPr>
          <w:p>
            <w:pPr>
              <w:jc w:val="center"/>
            </w:pPr>
            <w:r>
              <w:rPr>
                <w:rFonts w:ascii="Calibri" w:hAnsi="Calibri"/>
                <w:b/>
                <w:i w:val="0"/>
                <w:color w:val="FFFFFF"/>
                <w:sz w:val="20"/>
              </w:rPr>
              <w:t>Tiêu chí phân biệt</w:t>
            </w:r>
          </w:p>
        </w:tc>
        <w:tc>
          <w:tcPr>
            <w:tcW w:type="dxa" w:w="3600"/>
            <w:shd w:fill="2F5496"/>
            <w:tcMar>
              <w:top w:w="120" w:type="dxa"/>
              <w:bottom w:w="120" w:type="dxa"/>
              <w:left w:w="150" w:type="dxa"/>
              <w:right w:w="150" w:type="dxa"/>
            </w:tcMar>
          </w:tcPr>
          <w:p>
            <w:pPr>
              <w:jc w:val="center"/>
            </w:pPr>
            <w:r>
              <w:rPr>
                <w:rFonts w:ascii="Calibri" w:hAnsi="Calibri"/>
                <w:b/>
                <w:i w:val="0"/>
                <w:color w:val="FFFFFF"/>
                <w:sz w:val="20"/>
              </w:rPr>
              <w:t>Bắt nạt học đường (Peer Bullying)</w:t>
            </w:r>
          </w:p>
        </w:tc>
        <w:tc>
          <w:tcPr>
            <w:tcW w:type="dxa" w:w="3600"/>
            <w:shd w:fill="2F5496"/>
            <w:tcMar>
              <w:top w:w="120" w:type="dxa"/>
              <w:bottom w:w="120" w:type="dxa"/>
              <w:left w:w="150" w:type="dxa"/>
              <w:right w:w="150" w:type="dxa"/>
            </w:tcMar>
          </w:tcPr>
          <w:p>
            <w:pPr>
              <w:jc w:val="center"/>
            </w:pPr>
            <w:r>
              <w:rPr>
                <w:rFonts w:ascii="Calibri" w:hAnsi="Calibri"/>
                <w:b/>
                <w:i w:val="0"/>
                <w:color w:val="FFFFFF"/>
                <w:sz w:val="20"/>
              </w:rPr>
              <w:t>Bạo lực học đường (School Violence)</w:t>
            </w:r>
          </w:p>
        </w:tc>
      </w:tr>
      <w:tr>
        <w:tc>
          <w:tcPr>
            <w:tcW w:type="dxa" w:w="2160"/>
            <w:tcMar>
              <w:top w:w="100" w:type="dxa"/>
              <w:bottom w:w="100" w:type="dxa"/>
              <w:left w:w="150" w:type="dxa"/>
              <w:right w:w="150" w:type="dxa"/>
            </w:tcMar>
          </w:tcPr>
          <w:p>
            <w:r>
              <w:rPr>
                <w:b/>
                <w:sz w:val="19"/>
              </w:rPr>
              <w:t>Đối tượng tham gia</w:t>
            </w:r>
          </w:p>
        </w:tc>
        <w:tc>
          <w:tcPr>
            <w:tcW w:type="dxa" w:w="3600"/>
            <w:tcMar>
              <w:top w:w="100" w:type="dxa"/>
              <w:bottom w:w="100" w:type="dxa"/>
              <w:left w:w="150" w:type="dxa"/>
              <w:right w:w="150" w:type="dxa"/>
            </w:tcMar>
          </w:tcPr>
          <w:p>
            <w:r>
              <w:rPr>
                <w:sz w:val="19"/>
              </w:rPr>
              <w:t>Chỉ xảy ra giữa học sinh với học sinh.</w:t>
            </w:r>
          </w:p>
        </w:tc>
        <w:tc>
          <w:tcPr>
            <w:tcW w:type="dxa" w:w="3600"/>
            <w:tcMar>
              <w:top w:w="100" w:type="dxa"/>
              <w:bottom w:w="100" w:type="dxa"/>
              <w:left w:w="150" w:type="dxa"/>
              <w:right w:w="150" w:type="dxa"/>
            </w:tcMar>
          </w:tcPr>
          <w:p>
            <w:r>
              <w:rPr>
                <w:sz w:val="19"/>
              </w:rPr>
              <w:t>Xảy ra giữa học sinh với học sinh, hoặc giữa học sinh với giáo viên, nhân viên nhà trường.</w:t>
            </w:r>
          </w:p>
        </w:tc>
      </w:tr>
      <w:tr>
        <w:tc>
          <w:tcPr>
            <w:tcW w:type="dxa" w:w="2160"/>
            <w:tcMar>
              <w:top w:w="100" w:type="dxa"/>
              <w:bottom w:w="100" w:type="dxa"/>
              <w:left w:w="150" w:type="dxa"/>
              <w:right w:w="150" w:type="dxa"/>
            </w:tcMar>
            <w:shd w:fill="F2F2F2"/>
          </w:tcPr>
          <w:p>
            <w:r>
              <w:rPr>
                <w:b/>
                <w:sz w:val="19"/>
              </w:rPr>
              <w:t>Tính lặp lại</w:t>
            </w:r>
          </w:p>
        </w:tc>
        <w:tc>
          <w:tcPr>
            <w:tcW w:type="dxa" w:w="3600"/>
            <w:tcMar>
              <w:top w:w="100" w:type="dxa"/>
              <w:bottom w:w="100" w:type="dxa"/>
              <w:left w:w="150" w:type="dxa"/>
              <w:right w:w="150" w:type="dxa"/>
            </w:tcMar>
            <w:shd w:fill="F2F2F2"/>
          </w:tcPr>
          <w:p>
            <w:r>
              <w:rPr>
                <w:sz w:val="19"/>
              </w:rPr>
              <w:t>Thường xuyên lặp đi lặp lại nhiều lần đối với một học sinh hoặc một nhóm đối tượng cụ thể.</w:t>
            </w:r>
          </w:p>
        </w:tc>
        <w:tc>
          <w:tcPr>
            <w:tcW w:type="dxa" w:w="3600"/>
            <w:tcMar>
              <w:top w:w="100" w:type="dxa"/>
              <w:bottom w:w="100" w:type="dxa"/>
              <w:left w:w="150" w:type="dxa"/>
              <w:right w:w="150" w:type="dxa"/>
            </w:tcMar>
            <w:shd w:fill="F2F2F2"/>
          </w:tcPr>
          <w:p>
            <w:r>
              <w:rPr>
                <w:sz w:val="19"/>
              </w:rPr>
              <w:t>Có xu hướng không lặp lại liên tục trên cùng một đối tượng cố định; thường bộc phát theo sự kiện.</w:t>
            </w:r>
          </w:p>
        </w:tc>
      </w:tr>
      <w:tr>
        <w:tc>
          <w:tcPr>
            <w:tcW w:type="dxa" w:w="2160"/>
            <w:tcMar>
              <w:top w:w="100" w:type="dxa"/>
              <w:bottom w:w="100" w:type="dxa"/>
              <w:left w:w="150" w:type="dxa"/>
              <w:right w:w="150" w:type="dxa"/>
            </w:tcMar>
          </w:tcPr>
          <w:p>
            <w:r>
              <w:rPr>
                <w:b/>
                <w:sz w:val="19"/>
              </w:rPr>
              <w:t>Cân bằng quyền lực</w:t>
            </w:r>
          </w:p>
        </w:tc>
        <w:tc>
          <w:tcPr>
            <w:tcW w:type="dxa" w:w="3600"/>
            <w:tcMar>
              <w:top w:w="100" w:type="dxa"/>
              <w:bottom w:w="100" w:type="dxa"/>
              <w:left w:w="150" w:type="dxa"/>
              <w:right w:w="150" w:type="dxa"/>
            </w:tcMar>
          </w:tcPr>
          <w:p>
            <w:r>
              <w:rPr>
                <w:sz w:val="19"/>
              </w:rPr>
              <w:t>Mất cân bằng quyền lực rõ rệt. Người bắt nạt mạnh thế, ưu thế hơn (về thể chất, kinh tế, tuổi tác, địa vị); nạn nhân yếu thế và phục tùng.</w:t>
            </w:r>
          </w:p>
        </w:tc>
        <w:tc>
          <w:tcPr>
            <w:tcW w:type="dxa" w:w="3600"/>
            <w:tcMar>
              <w:top w:w="100" w:type="dxa"/>
              <w:bottom w:w="100" w:type="dxa"/>
              <w:left w:w="150" w:type="dxa"/>
              <w:right w:w="150" w:type="dxa"/>
            </w:tcMar>
          </w:tcPr>
          <w:p>
            <w:r>
              <w:rPr>
                <w:sz w:val="19"/>
              </w:rPr>
              <w:t>Các nhóm bạo lực thường có sự cân bằng về quyền lực, sẵn sàng phản kháng lẫn nhau khi xảy ra xung đột.</w:t>
            </w:r>
          </w:p>
        </w:tc>
      </w:tr>
      <w:tr>
        <w:tc>
          <w:tcPr>
            <w:tcW w:type="dxa" w:w="2160"/>
            <w:tcMar>
              <w:top w:w="100" w:type="dxa"/>
              <w:bottom w:w="100" w:type="dxa"/>
              <w:left w:w="150" w:type="dxa"/>
              <w:right w:w="150" w:type="dxa"/>
            </w:tcMar>
            <w:shd w:fill="F2F2F2"/>
          </w:tcPr>
          <w:p>
            <w:r>
              <w:rPr>
                <w:b/>
                <w:sz w:val="19"/>
              </w:rPr>
              <w:t>Động cơ gốc rễ</w:t>
            </w:r>
          </w:p>
        </w:tc>
        <w:tc>
          <w:tcPr>
            <w:tcW w:type="dxa" w:w="3600"/>
            <w:tcMar>
              <w:top w:w="100" w:type="dxa"/>
              <w:bottom w:w="100" w:type="dxa"/>
              <w:left w:w="150" w:type="dxa"/>
              <w:right w:w="150" w:type="dxa"/>
            </w:tcMar>
            <w:shd w:fill="F2F2F2"/>
          </w:tcPr>
          <w:p>
            <w:r>
              <w:rPr>
                <w:sz w:val="19"/>
              </w:rPr>
              <w:t>Xuất phát từ mong muốn kiểm soát người khác, thể hiện sức mạnh cơ bắp/vị thế cá nhân của kẻ bắt nạt.</w:t>
            </w:r>
          </w:p>
        </w:tc>
        <w:tc>
          <w:tcPr>
            <w:tcW w:type="dxa" w:w="3600"/>
            <w:tcMar>
              <w:top w:w="100" w:type="dxa"/>
              <w:bottom w:w="100" w:type="dxa"/>
              <w:left w:w="150" w:type="dxa"/>
              <w:right w:w="150" w:type="dxa"/>
            </w:tcMar>
            <w:shd w:fill="F2F2F2"/>
          </w:tcPr>
          <w:p>
            <w:r>
              <w:rPr>
                <w:sz w:val="19"/>
              </w:rPr>
              <w:t>Xuất phát từ các mâu thuẫn cá nhân, bất đồng ý kiến nhất thời và được sử dụng để giải quyết mâu thuẫn.</w:t>
            </w:r>
          </w:p>
        </w:tc>
      </w:tr>
      <w:tr>
        <w:tc>
          <w:tcPr>
            <w:tcW w:type="dxa" w:w="2160"/>
            <w:tcMar>
              <w:top w:w="100" w:type="dxa"/>
              <w:bottom w:w="100" w:type="dxa"/>
              <w:left w:w="150" w:type="dxa"/>
              <w:right w:w="150" w:type="dxa"/>
            </w:tcMar>
          </w:tcPr>
          <w:p>
            <w:r>
              <w:rPr>
                <w:b/>
                <w:sz w:val="19"/>
              </w:rPr>
              <w:t>Mức độ nhận diện</w:t>
            </w:r>
          </w:p>
        </w:tc>
        <w:tc>
          <w:tcPr>
            <w:tcW w:type="dxa" w:w="3600"/>
            <w:tcMar>
              <w:top w:w="100" w:type="dxa"/>
              <w:bottom w:w="100" w:type="dxa"/>
              <w:left w:w="150" w:type="dxa"/>
              <w:right w:w="150" w:type="dxa"/>
            </w:tcMar>
          </w:tcPr>
          <w:p>
            <w:r>
              <w:rPr>
                <w:sz w:val="19"/>
              </w:rPr>
              <w:t>Khó phát hiện hơn, thường diễn ra thầm lặng, lẩn khuất sau các mối quan hệ bạn bè hoặc trên mạng xã hội.</w:t>
            </w:r>
          </w:p>
        </w:tc>
        <w:tc>
          <w:tcPr>
            <w:tcW w:type="dxa" w:w="3600"/>
            <w:tcMar>
              <w:top w:w="100" w:type="dxa"/>
              <w:bottom w:w="100" w:type="dxa"/>
              <w:left w:w="150" w:type="dxa"/>
              <w:right w:w="150" w:type="dxa"/>
            </w:tcMar>
          </w:tcPr>
          <w:p>
            <w:r>
              <w:rPr>
                <w:sz w:val="19"/>
              </w:rPr>
              <w:t>Dễ nhìn thấy, bộc phát công khai và lập tức bị coi là vi phạm nghiêm trọng quy định nhà trường và pháp luật.</w:t>
            </w:r>
          </w:p>
        </w:tc>
      </w:tr>
    </w:tbl>
    <w:p>
      <w:pPr>
        <w:spacing w:before="120" w:after="240" w:line="276" w:lineRule="auto"/>
      </w:pPr>
    </w:p>
    <w:p>
      <w:pPr>
        <w:pStyle w:val="Heading2"/>
        <w:keepNext/>
        <w:spacing w:before="240" w:after="120" w:line="276" w:lineRule="auto"/>
      </w:pPr>
      <w:r>
        <w:rPr>
          <w:rFonts w:ascii="Calibri" w:hAnsi="Calibri"/>
          <w:b/>
          <w:i w:val="0"/>
          <w:color w:val="2F5496"/>
          <w:sz w:val="26"/>
        </w:rPr>
        <w:t>1.2 Phân loại các hình thức bạo lực và bắt nạt</w:t>
      </w:r>
    </w:p>
    <w:p>
      <w:pPr>
        <w:spacing w:before="0" w:after="120" w:line="276" w:lineRule="auto"/>
      </w:pPr>
      <w:r>
        <w:t>Học sinh gây ra bạo lực học đường thường thực hiện các hành vi dưới bốn loại hình chính:</w:t>
      </w:r>
    </w:p>
    <w:p>
      <w:pPr>
        <w:pStyle w:val="ListBullet"/>
        <w:spacing w:before="60" w:after="60" w:line="276" w:lineRule="auto"/>
      </w:pPr>
      <w:r>
        <w:rPr>
          <w:b/>
        </w:rPr>
        <w:t xml:space="preserve">Bạo lực thể chất: </w:t>
      </w:r>
      <w:r>
        <w:t>Sử dụng sức mạnh, vũ lực có chủ ý nhằm tác động tiêu cực và gây tổn hại thể xác nạn nhân. Hành vi bao gồm đánh đập, đấm, đá, tát, cấu véo, bắt trực nhật, bắt dọn vệ sinh, giam giữ trong nhà vệ sinh, chặn cửa hoặc bóc lột/chiếm đoạt tài sản (trấn lột tiền, làm hỏng đồ dùng học tập, bắt cống nạp đồ ăn).</w:t>
      </w:r>
    </w:p>
    <w:p>
      <w:pPr>
        <w:pStyle w:val="ListBullet"/>
        <w:spacing w:before="60" w:after="60" w:line="276" w:lineRule="auto"/>
      </w:pPr>
      <w:r>
        <w:rPr>
          <w:b/>
        </w:rPr>
        <w:t xml:space="preserve">Bạo lực tinh thần và xã hội: </w:t>
      </w:r>
      <w:r>
        <w:t>Hành động trực tiếp tác động lên cảm xúc của nạn nhân để hạ thấp nhân phẩm. Biểu hiện qua chửi rủa, miệt thị ngoại hình, sỉ nhục trước đám đông, đặt biệt hiệu xấu, phao tin đồn ác ý để cô lập bạn bè, lôi kéo cả lớp tẩy chay, phân biệt đối xử vì sự khác biệt của nạn nhân. Ngoài ra còn có hành vi sai khiến học tập như bắt làm bài hộ, giành bài kiểm tra, bắt nhắc bài.</w:t>
      </w:r>
    </w:p>
    <w:p>
      <w:pPr>
        <w:pStyle w:val="ListBullet"/>
        <w:spacing w:before="60" w:after="60" w:line="276" w:lineRule="auto"/>
      </w:pPr>
      <w:r>
        <w:rPr>
          <w:b/>
        </w:rPr>
        <w:t xml:space="preserve">Bạo lực/Quấy rối tình dục: </w:t>
      </w:r>
      <w:r>
        <w:t>Sử dụng từ ngữ gợi dục, bình phẩm khiếm nhã về cơ thể, ngoại hình, mặc hở hang hoặc cố ý phơi bày bộ phận nhạy cảm. Nghiêm trọng hơn là các hành vi đụng chạm thân thể không mong muốn (sờ mông, tốc váy, giật dây áo lót), cưỡng hôn, hoặc hiếp dâm, cưỡng dâm.</w:t>
      </w:r>
    </w:p>
    <w:p>
      <w:pPr>
        <w:pStyle w:val="ListBullet"/>
        <w:spacing w:before="60" w:after="60" w:line="276" w:lineRule="auto"/>
      </w:pPr>
      <w:r>
        <w:rPr>
          <w:b/>
        </w:rPr>
        <w:t xml:space="preserve">Bắt nạt trực tuyến (Cyberbullying): </w:t>
      </w:r>
      <w:r>
        <w:t>Sử dụng công nghệ, thiết bị điện tử hoặc các ứng dụng mạng xã hội (Facebook, Instagram, TikTok) để quấy rối, gửi tin nhắn công kích thô lỗ, phỉ báng bằng cách ghép ảnh nhạy cảm bôi nhọ danh dự bạn học, mạo danh tài khoản để đăng tin xấu, lừa đảo phát tán bí mật riêng tư, hoặc cô lập bạn học khỏi các nhóm thảo luận trực tuyến chung.</w:t>
      </w:r>
    </w:p>
    <w:p>
      <w:pPr>
        <w:pStyle w:val="Heading2"/>
        <w:keepNext/>
        <w:spacing w:before="240" w:after="120" w:line="276" w:lineRule="auto"/>
      </w:pPr>
      <w:r>
        <w:rPr>
          <w:rFonts w:ascii="Calibri" w:hAnsi="Calibri"/>
          <w:b/>
          <w:i w:val="0"/>
          <w:color w:val="2F5496"/>
          <w:sz w:val="26"/>
        </w:rPr>
        <w:t>1.3 Chân dung tâm lý và Các yếu tố rủi ro thúc đẩy hành vi</w:t>
      </w:r>
    </w:p>
    <w:p>
      <w:pPr>
        <w:spacing w:before="0" w:after="120" w:line="276" w:lineRule="auto"/>
      </w:pPr>
      <w:r>
        <w:t>Học sinh thực hiện hành vi bạo lực hoặc bắt nạt thường không phải bộc phát ngẫu nhiên mà chịu tác động từ bốn nhóm yếu tố rủi ro lớn:</w:t>
      </w:r>
    </w:p>
    <w:p>
      <w:pPr>
        <w:spacing w:before="80" w:after="80" w:line="276" w:lineRule="auto"/>
        <w:ind w:left="360"/>
      </w:pPr>
      <w:r>
        <w:rPr>
          <w:b/>
        </w:rPr>
        <w:t xml:space="preserve">1. Yếu tố cá nhân học sinh: </w:t>
      </w:r>
      <w:r>
        <w:t>Ở lứa tuổi dậy thì, hệ thống thần kinh chưa ổn định hoàn toàn, sự mất cân đối tạm thời về sinh lý khiến học sinh dễ bị hưng phấn, khó kiềm chế cảm xúc tiêu cực. Học sinh có thể có mong muốn thể hiện cái Tôi, chứng tỏ bản lĩnh 'người lớn', hoặc muốn kiểm soát người khác để khỏa lấp sự thiếu tự tin, lòng tự tôn thấp của bản thân. Nhiều học sinh gây bạo lực thực chất có kỹ năng giao tiếp ứng xử kém, khó cảm thông với sự khác biệt của người khác, và có đến 10% trong số đó bản thân từng là nạn nhân của bạo lực gia đình hoặc học đường trước đây.</w:t>
      </w:r>
    </w:p>
    <w:p>
      <w:pPr>
        <w:spacing w:before="80" w:after="80" w:line="276" w:lineRule="auto"/>
        <w:ind w:left="360"/>
      </w:pPr>
      <w:r>
        <w:rPr>
          <w:b/>
        </w:rPr>
        <w:t xml:space="preserve">2. Yếu tố gia đình: </w:t>
      </w:r>
      <w:r>
        <w:t>Phong cách giáo dục gia đình quá khắc nghiệt, cứng nhắc, sử dụng bạo lực hoặc ngược lại là quá nuông chiều, bàng quan, thiếu sự giám sát, che chở và chia sẻ của cha mẹ. Học sinh sống trong gia đình thường xuyên xảy ra cãi vã, bạo lực giữa bố mẹ, hoặc có người lạm dụng chất gây nghiện sẽ có xu hướng học hỏi hành vi bạo lực và áp dụng vào trường học.</w:t>
      </w:r>
    </w:p>
    <w:p>
      <w:pPr>
        <w:spacing w:before="80" w:after="80" w:line="276" w:lineRule="auto"/>
        <w:ind w:left="360"/>
      </w:pPr>
      <w:r>
        <w:rPr>
          <w:b/>
        </w:rPr>
        <w:t xml:space="preserve">3. Yếu tố nhà trường: </w:t>
      </w:r>
      <w:r>
        <w:t>Môi trường trường học lỏng lẻo về kỷ cương nề nếp, không gian trường học có những khu vực thiếu an toàn (ví dụ nhà vệ sinh vắng vẻ là nơi tụ tập hút thuốc, đánh bài). Thầy cô giáo đối xử thiếu công bằng, áp lực thi cử điểm số quá cao mà thiếu sự nâng đỡ, hỗ trợ tâm lý hay quy tắc ứng xử rõ ràng.</w:t>
      </w:r>
    </w:p>
    <w:p>
      <w:pPr>
        <w:spacing w:before="80" w:after="80" w:line="276" w:lineRule="auto"/>
        <w:ind w:left="360"/>
      </w:pPr>
      <w:r>
        <w:rPr>
          <w:b/>
        </w:rPr>
        <w:t xml:space="preserve">4. Yếu tố xã hội và truyền thông: </w:t>
      </w:r>
      <w:r>
        <w:t>Sự bùng nổ của mạng xã hội tạo điều kiện cho bắt nạt trực tuyến phát triển ẩn danh. Trẻ dễ dàng bắt chước các trò chơi điện tử, phim ảnh, sách báo có tính chất bạo lực mà không nhận thức được hậu quả thực tế đối với nạn nhân.</w:t>
      </w:r>
    </w:p>
    <w:p>
      <w:pPr>
        <w:pStyle w:val="Heading1"/>
        <w:keepNext/>
        <w:spacing w:before="360" w:after="240" w:line="276" w:lineRule="auto"/>
      </w:pPr>
      <w:r>
        <w:rPr>
          <w:rFonts w:ascii="Calibri" w:hAnsi="Calibri"/>
          <w:b/>
          <w:i w:val="0"/>
          <w:color w:val="2F5496"/>
          <w:sz w:val="32"/>
        </w:rPr>
        <w:t>PHẦN II: QUY TRÌNH 5 BƯỚC CAN THIỆP VÀ GIÁO DỤC HỌC SINH GÂY BẠO LỰC</w:t>
      </w:r>
    </w:p>
    <w:p>
      <w:pPr>
        <w:spacing w:before="0" w:after="120" w:line="276" w:lineRule="auto"/>
      </w:pPr>
      <w:r>
        <w:t>Khi phát hiện một học sinh thực hiện hành vi bạo lực học đường, nhà trường và giáo viên cần áp dụng một quy trình xử lý 5 bước chặt chẽ. Mục tiêu tối thượng của quy trình này là giáo dục nhận thức, điều chỉnh hành vi và ngăn chặn tái diễn, tuyệt đối không sử dụng các biện pháp bạo lực hoặc sỉ nhục phản sư phạm.</w:t>
      </w:r>
    </w:p>
    <w:p>
      <w:pPr>
        <w:pStyle w:val="Heading2"/>
        <w:keepNext/>
        <w:spacing w:before="240" w:after="120" w:line="276" w:lineRule="auto"/>
      </w:pPr>
      <w:r>
        <w:rPr>
          <w:rFonts w:ascii="Calibri" w:hAnsi="Calibri"/>
          <w:b/>
          <w:i w:val="0"/>
          <w:color w:val="2F5496"/>
          <w:sz w:val="26"/>
        </w:rPr>
        <w:t>Bước 1: Tìm hiểu sự việc và Phỏng vấn đánh giá</w:t>
      </w:r>
    </w:p>
    <w:p>
      <w:pPr>
        <w:spacing w:before="0" w:after="120" w:line="276" w:lineRule="auto"/>
      </w:pPr>
      <w:r>
        <w:t xml:space="preserve">Giáo viên/Nhà tham vấn cần tiếp cận học sinh gây bạo lực một cách bình tĩnh, không phán xét. Tiến hành phỏng vấn riêng để học sinh không phải phòng vệ trước bạn bè. Sử dụng bộ câu hỏi gợi mở để tìm hiểu động cơ và hoàn cảnh cá nhân: </w:t>
        <w:br/>
        <w:t xml:space="preserve">• 'Thầy/cô thấy gần đây con có vẻ hay cáu gắt và lo lắng. Không biết con đang gặp phải khó khăn gì?' </w:t>
        <w:br/>
        <w:t xml:space="preserve">• 'Con có thể kể lại chuyện xảy ra hôm đó theo góc nhìn của con không? Điều gì đã dẫn đến hành động đó?' </w:t>
        <w:br/>
        <w:t>• 'Trước đây con đã từng gặp phải sự việc tương tự hay có ai cư xử bạo lực với con chưa?'</w:t>
        <w:br/>
        <w:t>Lưu ý tránh các từ ngữ mang tính chụp mũ trực tiếp như 'kẻ bạo lực', 'lạm dụng', 'hành hạ' mà hãy tập trung vào hành vi cụ thể.</w:t>
      </w:r>
    </w:p>
    <w:p>
      <w:pPr>
        <w:pStyle w:val="Heading2"/>
        <w:keepNext/>
        <w:spacing w:before="240" w:after="120" w:line="276" w:lineRule="auto"/>
      </w:pPr>
      <w:r>
        <w:rPr>
          <w:rFonts w:ascii="Calibri" w:hAnsi="Calibri"/>
          <w:b/>
          <w:i w:val="0"/>
          <w:color w:val="2F5496"/>
          <w:sz w:val="26"/>
        </w:rPr>
        <w:t>Bước 2: Giúp học sinh nhận thức hậu quả hành vi</w:t>
      </w:r>
    </w:p>
    <w:p>
      <w:pPr>
        <w:spacing w:before="0" w:after="120" w:line="276" w:lineRule="auto"/>
      </w:pPr>
      <w:r>
        <w:t xml:space="preserve">Kẻ bắt nạt thường có cơ chế giảm nhẹ hành vi (ví dụ: 'con chỉ trêu bạn thôi', 'tại bạn trêu con trước'). Giáo viên cần chỉ rõ tác động thực tế của bạo lực lên nạn nhân: </w:t>
        <w:br/>
        <w:t>• Về thể chất: những vết bầm tím, chấn thương, sự đau đớn thể xác.</w:t>
        <w:br/>
        <w:t>• Về tâm lý và học tập: bạn phải chịu sợ hãi, lo âu, mất ngủ, bỏ học, học sút, thậm chí chán ghét bản thân và có ý nghĩ tự tử.</w:t>
        <w:br/>
        <w:t>Đồng thời chỉ ra hậu quả đối với chính học sinh gây bạo lực: bị bạn bè xa lánh, hình ảnh bản thân méo mó, hổng kiến thức khi bắt bạn làm bài hộ, bị kỷ luật đình chỉ học hoặc nghiêm trọng hơn là sự can thiệp của pháp luật.</w:t>
      </w:r>
    </w:p>
    <w:p>
      <w:pPr>
        <w:pStyle w:val="Heading2"/>
        <w:keepNext/>
        <w:spacing w:before="240" w:after="120" w:line="276" w:lineRule="auto"/>
      </w:pPr>
      <w:r>
        <w:rPr>
          <w:rFonts w:ascii="Calibri" w:hAnsi="Calibri"/>
          <w:b/>
          <w:i w:val="0"/>
          <w:color w:val="2F5496"/>
          <w:sz w:val="26"/>
        </w:rPr>
        <w:t>Bước 3: Áp dụng các phương pháp Kỷ luật Tích cực</w:t>
      </w:r>
    </w:p>
    <w:p>
      <w:pPr>
        <w:spacing w:before="0" w:after="120" w:line="276" w:lineRule="auto"/>
      </w:pPr>
      <w:r>
        <w:t>Thay thế hoàn toàn các hình phạt trừng phạt thân thể và tinh thần (mắng nhiếc trước lớp, cô lập, sỉ nhục) bằng các phương pháp kỷ luật tích cực như thiết lập hệ quả lôgíc liên quan trực tiếp đến lỗi lầm, hoặc áp dụng thời gian tạm lắng để học sinh lấy lại bình tĩnh tự kiểm điểm (chi tiết kỹ thuật tại Phần III).</w:t>
      </w:r>
    </w:p>
    <w:p>
      <w:pPr>
        <w:pStyle w:val="Heading2"/>
        <w:keepNext/>
        <w:spacing w:before="240" w:after="120" w:line="276" w:lineRule="auto"/>
      </w:pPr>
      <w:r>
        <w:rPr>
          <w:rFonts w:ascii="Calibri" w:hAnsi="Calibri"/>
          <w:b/>
          <w:i w:val="0"/>
          <w:color w:val="2F5496"/>
          <w:sz w:val="26"/>
        </w:rPr>
        <w:t>Bước 4: Thiết lập kế hoạch Hòa giải và Sửa lỗi</w:t>
      </w:r>
    </w:p>
    <w:p>
      <w:pPr>
        <w:spacing w:before="0" w:after="120" w:line="276" w:lineRule="auto"/>
      </w:pPr>
      <w:r>
        <w:t>Hướng dẫn học sinh thực hiện các hành động cụ thể để sửa chữa sai lầm một cách chân thành:</w:t>
        <w:br/>
        <w:t>• Viết thư hoặc trực tiếp nói lời xin lỗi nạn nhân (sử dụng cấu trúc giao tiếp quyết đoán: nhận trách nhiệm, không đổ lỗi).</w:t>
        <w:br/>
        <w:t>• Thực hiện các hành động bồi thường vật chất (nếu làm hỏng đồ dùng, trấn lột tiền) hoặc bồi thường công sức (ví dụ giúp bạn dọn dẹp phòng thí nghiệm mà mình cậy quyền bắt bạn làm một mình).</w:t>
        <w:br/>
        <w:t>Khuyến khích học sinh tin vào những giá trị tốt đẹp sâu bên trong mình: 'Con đã làm một việc sai, nhưng con không phải là một đứa trẻ xấu. Thầy cô tin sự tử tế và trách nhiệm của con sẽ giúp con sửa chữa lỗi lầm này.'</w:t>
      </w:r>
    </w:p>
    <w:p>
      <w:pPr>
        <w:pStyle w:val="Heading2"/>
        <w:keepNext/>
        <w:spacing w:before="240" w:after="120" w:line="276" w:lineRule="auto"/>
      </w:pPr>
      <w:r>
        <w:rPr>
          <w:rFonts w:ascii="Calibri" w:hAnsi="Calibri"/>
          <w:b/>
          <w:i w:val="0"/>
          <w:color w:val="2F5496"/>
          <w:sz w:val="26"/>
        </w:rPr>
        <w:t>Bước 5: Giám sát thực hiện và Phòng ngừa tái diễn lâu dài</w:t>
      </w:r>
    </w:p>
    <w:p>
      <w:pPr>
        <w:spacing w:before="0" w:after="120" w:line="276" w:lineRule="auto"/>
      </w:pPr>
      <w:r>
        <w:t xml:space="preserve">Giáo viên và nhà trường cần thường xuyên liên lạc, theo dõi học sinh sau can thiệp để chắc chắn hành vi không tái diễn. Thiết lập các buổi rèn luyện kỹ năng xã hội (kiểm soát tức giận, thấu cảm, chọn bạn tốt). </w:t>
        <w:br/>
        <w:t>*Lưu ý đặc biệt:* Nếu hành vi bắt nạt vẫn tái diễn với tần suất và mức độ cao hơn, giáo viên phải ngay lập tức chuyển tuyến trường hợp này đến các chuyên gia tâm thần hoặc nhà tâm lý lâm sàng chuyên sâu để tìm hiểu sâu hơn về nguyên nhân gốc rễ và có biện pháp can thiệp y tế học đường thích hợp.</w:t>
      </w:r>
    </w:p>
    <w:p>
      <w:pPr>
        <w:pStyle w:val="Heading1"/>
        <w:keepNext/>
        <w:spacing w:before="360" w:after="240" w:line="276" w:lineRule="auto"/>
      </w:pPr>
      <w:r>
        <w:rPr>
          <w:rFonts w:ascii="Calibri" w:hAnsi="Calibri"/>
          <w:b/>
          <w:i w:val="0"/>
          <w:color w:val="2F5496"/>
          <w:sz w:val="32"/>
        </w:rPr>
        <w:t>PHẦN III: CÁC PHƯƠNG PHÁP KỶ LUẬT TÍCH CỰC &amp; KỸ NĂNG BỔ TRỢ</w:t>
      </w:r>
    </w:p>
    <w:p>
      <w:pPr>
        <w:spacing w:before="0" w:after="120" w:line="276" w:lineRule="auto"/>
      </w:pPr>
      <w:r>
        <w:t>Kỷ luật tích cực là nền tảng để chuyển hóa hành vi của học sinh gây bạo lực. Phương pháp này giúp học sinh thay đổi hành vi không mong muốn nhưng vẫn cảm thấy được yêu thương, tôn trọng, hiểu và thấy mình có giá trị, thay vì nảy sinh tâm lý oán giận, trả đũa hay trốn tránh.</w:t>
      </w:r>
    </w:p>
    <w:p>
      <w:pPr>
        <w:pStyle w:val="Heading2"/>
        <w:keepNext/>
        <w:spacing w:before="240" w:after="120" w:line="276" w:lineRule="auto"/>
      </w:pPr>
      <w:r>
        <w:rPr>
          <w:rFonts w:ascii="Calibri" w:hAnsi="Calibri"/>
          <w:b/>
          <w:i w:val="0"/>
          <w:color w:val="2F5496"/>
          <w:sz w:val="26"/>
        </w:rPr>
        <w:t>3.1 Phương pháp Hệ quả tự nhiên và lôgíc</w:t>
      </w:r>
    </w:p>
    <w:p>
      <w:pPr>
        <w:spacing w:before="0" w:after="120" w:line="276" w:lineRule="auto"/>
      </w:pPr>
      <w:r>
        <w:rPr>
          <w:b/>
        </w:rPr>
        <w:t xml:space="preserve">Hệ quả tự nhiên </w:t>
      </w:r>
      <w:r>
        <w:t>là những gì xảy ra một cách tự nhiên, không có sự can thiệp của người lớn (ví dụ: không học bài bị điểm kém, quên mặc ấm bị lạnh).</w:t>
      </w:r>
    </w:p>
    <w:p>
      <w:pPr>
        <w:spacing w:before="0" w:after="120" w:line="276" w:lineRule="auto"/>
      </w:pPr>
      <w:r>
        <w:rPr>
          <w:b/>
        </w:rPr>
        <w:t xml:space="preserve">Hệ quả lôgíc </w:t>
      </w:r>
      <w:r>
        <w:t>đòi hỏi có sự can thiệp của người lớn hoặc bạn bè để rèn luyện ý thức trách nhiệm. Việc áp dụng Hệ quả lôgíc chỉ có hiệu quả khi đảm bảo tuyệt đối 3 quy tắc vàng:</w:t>
      </w:r>
    </w:p>
    <w:p>
      <w:pPr>
        <w:spacing w:before="80" w:after="80" w:line="276" w:lineRule="auto"/>
        <w:ind w:left="360"/>
      </w:pPr>
      <w:r>
        <w:rPr>
          <w:b/>
        </w:rPr>
        <w:t xml:space="preserve">1. Liên quan (Related): </w:t>
      </w:r>
      <w:r>
        <w:t>Hệ quả phải liên quan trực tiếp đến hành vi sai phạm. Ví dụ: Học sinh vẽ bậy lên bàn thì hệ quả là phải tự lau chùi bàn cho sạch sẽ; học sinh cậy thế bắt nạt nhóm dọn dẹp một mình thì phải tự trực nhật bù trong tuần tiếp theo. (Tuyệt đối không phạt dọn nhà vệ sinh hay quét sân trường vì những việc này không liên quan trực tiếp đến hành vi vẽ bậy, đó là sự trừng phạt).</w:t>
      </w:r>
    </w:p>
    <w:p>
      <w:pPr>
        <w:spacing w:before="80" w:after="80" w:line="276" w:lineRule="auto"/>
        <w:ind w:left="360"/>
      </w:pPr>
      <w:r>
        <w:rPr>
          <w:b/>
        </w:rPr>
        <w:t xml:space="preserve">2. Tôn trọng (Respectful): </w:t>
      </w:r>
      <w:r>
        <w:t>Người lớn phải thể hiện sự tôn trọng khi yêu cầu học sinh khắc phục lỗi, tránh quát mắng, dọa nạt, đe dọa bạo lực hoặc làm học sinh bẽ mặt trước lớp. Nếu nói lời sỉ nhục, việc áp dụng hệ quả sẽ trở thành trừng phạt và mất tác dụng giáo dục.</w:t>
      </w:r>
    </w:p>
    <w:p>
      <w:pPr>
        <w:spacing w:before="80" w:after="80" w:line="276" w:lineRule="auto"/>
        <w:ind w:left="360"/>
      </w:pPr>
      <w:r>
        <w:rPr>
          <w:b/>
        </w:rPr>
        <w:t xml:space="preserve">3. Hợp lý (Reasonable): </w:t>
      </w:r>
      <w:r>
        <w:t>Hệ quả đưa ra phải vừa sức, hợp lý với lứa tuổi và mức độ mắc lỗi của học sinh, có sự giải thích rõ ràng và đồng thuận, không áp đặt quyền lực vô lý.</w:t>
      </w:r>
    </w:p>
    <w:p>
      <w:pPr>
        <w:pStyle w:val="Heading2"/>
        <w:keepNext/>
        <w:spacing w:before="240" w:after="120" w:line="276" w:lineRule="auto"/>
      </w:pPr>
      <w:r>
        <w:rPr>
          <w:rFonts w:ascii="Calibri" w:hAnsi="Calibri"/>
          <w:b/>
          <w:i w:val="0"/>
          <w:color w:val="2F5496"/>
          <w:sz w:val="26"/>
        </w:rPr>
        <w:t>3.2 Phương pháp Thời gian tạm lắng (Time-out) đúng cách</w:t>
      </w:r>
    </w:p>
    <w:p>
      <w:pPr>
        <w:spacing w:before="0" w:after="120" w:line="276" w:lineRule="auto"/>
      </w:pPr>
      <w:r>
        <w:rPr>
          <w:b/>
        </w:rPr>
        <w:t xml:space="preserve">Thời gian tạm lắng </w:t>
      </w:r>
      <w:r>
        <w:t>là biện pháp tách học sinh ra khỏi hoạt động đang tham gia khi học sinh đang hoặc có nguy cơ cao làm tổn thương người khác hoặc chính bản thân mình (như trêu chọc, đánh bạn, đập phá đồ đạc). Trong lúc tạm lắng, học sinh phải ngồi yên một chỗ, không được chơi, không được trò chuyện.</w:t>
      </w:r>
    </w:p>
    <w:p>
      <w:pPr>
        <w:spacing w:before="0" w:after="120" w:line="276" w:lineRule="auto"/>
      </w:pPr>
      <w:r>
        <w:t>Quy tắc áp dụng Thời gian tạm lắng tránh biến tướng thành trừng phạt:</w:t>
      </w:r>
    </w:p>
    <w:p>
      <w:pPr>
        <w:pStyle w:val="ListBullet"/>
        <w:spacing w:before="60" w:after="60" w:line="276" w:lineRule="auto"/>
      </w:pPr>
      <w:r>
        <w:t>Không áp dụng cho trẻ quá nhỏ hoặc phòng kín hoàn toàn gây hoang mang, sợ hãi cô độc.</w:t>
      </w:r>
    </w:p>
    <w:p>
      <w:pPr>
        <w:pStyle w:val="ListBullet"/>
        <w:spacing w:before="60" w:after="60" w:line="276" w:lineRule="auto"/>
      </w:pPr>
      <w:r>
        <w:t>Thời gian áp dụng ngắn và phù hợp: Thường tính số phút tương ứng với số tuổi (ví dụ học sinh 11 tuổi thì tạm lắng tối đa 11 phút) để học sinh bình tĩnh lại.</w:t>
      </w:r>
    </w:p>
    <w:p>
      <w:pPr>
        <w:pStyle w:val="ListBullet"/>
        <w:spacing w:before="60" w:after="60" w:line="276" w:lineRule="auto"/>
      </w:pPr>
      <w:r>
        <w:t>Tuyệt đối không mang tính nhục mạ học sinh (như bắt quỳ trên sỏi, đứng úp mặt vào tường trước cả lớp suốt tiết học, đứng ngoài trời nắng).</w:t>
      </w:r>
    </w:p>
    <w:p>
      <w:pPr>
        <w:pStyle w:val="ListBullet"/>
        <w:spacing w:before="60" w:after="60" w:line="276" w:lineRule="auto"/>
      </w:pPr>
      <w:r>
        <w:t>Sau khi học sinh đã bình tĩnh lại, giáo viên cần giải thích rõ hành vi nào là không thể chấp nhận được, tại sao con bị áp dụng tạm lắng và hướng dẫn cách cư xử phù hợp.</w:t>
      </w:r>
    </w:p>
    <w:p>
      <w:pPr>
        <w:pStyle w:val="Heading2"/>
        <w:keepNext/>
        <w:spacing w:before="240" w:after="120" w:line="276" w:lineRule="auto"/>
      </w:pPr>
      <w:r>
        <w:rPr>
          <w:rFonts w:ascii="Calibri" w:hAnsi="Calibri"/>
          <w:b/>
          <w:i w:val="0"/>
          <w:color w:val="2F5496"/>
          <w:sz w:val="26"/>
        </w:rPr>
        <w:t>3.3 Khích lệ lòng tự tin và Củng cố tích cực</w:t>
      </w:r>
    </w:p>
    <w:p>
      <w:pPr>
        <w:spacing w:before="0" w:after="120" w:line="276" w:lineRule="auto"/>
      </w:pPr>
      <w:r>
        <w:t>Nhiều học sinh 'hư' hoặc gây bạo lực thực chất là những học sinh đang chán nản về bản thân, mất động cơ phấn đấu lành mạnh. Giáo viên cần tập trung tìm kiếm các hành vi đúng đắn, tích cực của học sinh để củng cố tích cực thay vì chỉ rình rập bắt lỗi:</w:t>
      </w:r>
    </w:p>
    <w:p>
      <w:pPr>
        <w:pStyle w:val="ListBullet"/>
        <w:spacing w:before="60" w:after="60" w:line="276" w:lineRule="auto"/>
      </w:pPr>
      <w:r>
        <w:t>Khen ngợi cụ thể và có thật: Tìm điểm tích cực nhỏ nhất của trẻ để củng cố bằng thái độ ôn tồn, chân thành. Tránh khen ngợi sáo rỗng hoặc 'khen đểu'.</w:t>
      </w:r>
    </w:p>
    <w:p>
      <w:pPr>
        <w:pStyle w:val="ListBullet"/>
        <w:spacing w:before="60" w:after="60" w:line="276" w:lineRule="auto"/>
      </w:pPr>
      <w:r>
        <w:t>Gọi tên phẩm chất tốt cụ thể: Ví dụ: 'Thầy thích cách con chủ động giúp đỡ bạn thu dọn đồ dùng học tập hôm nay. Con đã thể hiện sự quan tâm và hợp tác rất tốt.'</w:t>
      </w:r>
    </w:p>
    <w:p>
      <w:pPr>
        <w:pStyle w:val="ListBullet"/>
        <w:spacing w:before="60" w:after="60" w:line="276" w:lineRule="auto"/>
      </w:pPr>
      <w:r>
        <w:t>Củng cố ngay lập tức: Phản hồi khen ngợi ngay khi hành vi tích cực mới xuất hiện để định hình thói quen tốt mới.</w:t>
      </w:r>
    </w:p>
    <w:p>
      <w:pPr>
        <w:pStyle w:val="ListBullet"/>
        <w:spacing w:before="60" w:after="60" w:line="276" w:lineRule="auto"/>
      </w:pPr>
      <w:r>
        <w:t>Luôn để lại cảm xúc tích cực: Tránh kiểu khen ngợi nửa vời kèm chỉ trích quá khứ, ví dụ: 'Hôm nay con làm việc tốt lắm, giá như ngày nào con cũng ngoan thế này có phải tốt không' - câu nói này sẽ lập tức xóa sạch cảm xúc tích cực ban đầu của học sinh.</w:t>
      </w:r>
    </w:p>
    <w:p>
      <w:pPr>
        <w:pStyle w:val="Heading2"/>
        <w:keepNext/>
        <w:spacing w:before="240" w:after="120" w:line="276" w:lineRule="auto"/>
      </w:pPr>
      <w:r>
        <w:rPr>
          <w:rFonts w:ascii="Calibri" w:hAnsi="Calibri"/>
          <w:b/>
          <w:i w:val="0"/>
          <w:color w:val="2F5496"/>
          <w:sz w:val="26"/>
        </w:rPr>
        <w:t>3.4 Kỹ năng làm chủ cảm xúc và chế ngự cơn tức giận</w:t>
      </w:r>
    </w:p>
    <w:p>
      <w:pPr>
        <w:spacing w:before="0" w:after="120" w:line="276" w:lineRule="auto"/>
      </w:pPr>
      <w:r>
        <w:t>Sự tức giận ngoài tầm kiểm soát là ngòi nổ trực tiếp của các hành vi bạo lực thân thể và ngôn từ bôi nhọ. Giáo viên và AI cần hướng dẫn học sinh quy trình 3 bước để kiểm soát cơn giận:</w:t>
      </w:r>
    </w:p>
    <w:p>
      <w:pPr>
        <w:spacing w:before="80" w:after="80" w:line="276" w:lineRule="auto"/>
        <w:ind w:left="360"/>
      </w:pPr>
      <w:r>
        <w:rPr>
          <w:b/>
        </w:rPr>
        <w:t xml:space="preserve">Bước 1: Nhận diện dấu hiệu cơ thể và nguồn gốc cảm xúc. </w:t>
      </w:r>
      <w:r>
        <w:t>Nhận biết cơ thể bắt đầu nóng bừng, tim đập nhanh, thở dốc, tay nắm chặt. Nhận ra cơn giận này bắt nguồn từ sự lo lắng, cảm thấy không được tôn trọng, ghen tị hay bị tổn thương.</w:t>
      </w:r>
    </w:p>
    <w:p>
      <w:pPr>
        <w:spacing w:before="80" w:after="80" w:line="276" w:lineRule="auto"/>
        <w:ind w:left="360"/>
      </w:pPr>
      <w:r>
        <w:rPr>
          <w:b/>
        </w:rPr>
        <w:t xml:space="preserve">Bước 2: Hạ nhiệt cảm xúc (Xoa dịu). </w:t>
      </w:r>
      <w:r>
        <w:t>Tạm tránh ra khỏi môi trường/đối tượng gây ức chế. Thực hiện kỹ thuật thở hình vuông (hít vào bằng mũi 4 giây, nhịn thở 4 giây, thở ra bằng miệng 4 giây, dừng thở 4 giây, lặp lại 5-10 phút). Sử dụng các câu tự trấn an bản thân: 'Bình tĩnh lại nào', 'Mọi chuyện rồi sẽ ổn thôi'.</w:t>
      </w:r>
    </w:p>
    <w:p>
      <w:pPr>
        <w:spacing w:before="80" w:after="80" w:line="276" w:lineRule="auto"/>
        <w:ind w:left="360"/>
      </w:pPr>
      <w:r>
        <w:rPr>
          <w:b/>
        </w:rPr>
        <w:t xml:space="preserve">Bước 3: Tái cấu trúc nhận thức (Phá vỡ suy nghĩ thiên lệch). </w:t>
      </w:r>
      <w:r>
        <w:t>Loại bỏ lối suy nghĩ trắng-đen tuyệt đối, khái quát hóa quá mức ('Lúc nào bạn cũng chống đối mình', 'Chẳng bao giờ họ coi trọng mình'), thói quen chụp mũ đổ lỗi cho người khác. Thay thế bằng suy nghĩ tích cực và khách quan hơn.</w:t>
      </w:r>
    </w:p>
    <w:p>
      <w:pPr>
        <w:pStyle w:val="Heading2"/>
        <w:keepNext/>
        <w:spacing w:before="240" w:after="120" w:line="276" w:lineRule="auto"/>
      </w:pPr>
      <w:r>
        <w:rPr>
          <w:rFonts w:ascii="Calibri" w:hAnsi="Calibri"/>
          <w:b/>
          <w:i w:val="0"/>
          <w:color w:val="2F5496"/>
          <w:sz w:val="26"/>
        </w:rPr>
        <w:t>3.5 Kỹ năng lắng nghe tích cực và Thấu cảm</w:t>
      </w:r>
    </w:p>
    <w:p>
      <w:pPr>
        <w:spacing w:before="0" w:after="120" w:line="276" w:lineRule="auto"/>
      </w:pPr>
      <w:r>
        <w:t>Khi lắng nghe học sinh bộc bạch, giáo viên/AI cần duy trì sự thấu cảm cao nhất:</w:t>
      </w:r>
    </w:p>
    <w:p>
      <w:pPr>
        <w:pStyle w:val="ListBullet"/>
        <w:spacing w:before="60" w:after="60" w:line="276" w:lineRule="auto"/>
      </w:pPr>
      <w:r>
        <w:t>Dành trọn tâm trí cho cuộc trò chuyện, duy trì giao tiếp ánh mắt ôn hòa.</w:t>
      </w:r>
    </w:p>
    <w:p>
      <w:pPr>
        <w:pStyle w:val="ListBullet"/>
        <w:spacing w:before="60" w:after="60" w:line="276" w:lineRule="auto"/>
      </w:pPr>
      <w:r>
        <w:t>Tránh ngắt lời, phán xét đạo đức, chỉ trích nặng nề hoặc đổ lỗi cho học sinh.</w:t>
      </w:r>
    </w:p>
    <w:p>
      <w:pPr>
        <w:pStyle w:val="ListBullet"/>
        <w:spacing w:before="60" w:after="60" w:line="276" w:lineRule="auto"/>
      </w:pPr>
      <w:r>
        <w:t>Phản hồi lại cảm xúc đằng sau lời nói của con: 'Thầy hiểu là con cảm thấy rất bực mình và bất công khi bạn nói lời không hay về con.'</w:t>
      </w:r>
    </w:p>
    <w:p>
      <w:pPr>
        <w:pStyle w:val="ListBullet"/>
        <w:spacing w:before="60" w:after="60" w:line="276" w:lineRule="auto"/>
      </w:pPr>
      <w:r>
        <w:t>Tuyệt đối tránh đồng tình kiểu thương hại làm học sinh yếu đuối hơn, cũng như tránh ra lệnh, đe dọa kỷ luật cứng nhắc ngay từ đầu.</w:t>
      </w:r>
    </w:p>
    <w:p>
      <w:pPr>
        <w:pStyle w:val="Heading1"/>
        <w:keepNext/>
        <w:spacing w:before="360" w:after="240" w:line="276" w:lineRule="auto"/>
      </w:pPr>
      <w:r>
        <w:rPr>
          <w:rFonts w:ascii="Calibri" w:hAnsi="Calibri"/>
          <w:b/>
          <w:i w:val="0"/>
          <w:color w:val="2F5496"/>
          <w:sz w:val="32"/>
        </w:rPr>
        <w:t>PHẦN IV: KỊCH BẢN TƯ VẤN VÀ ĐIỀU CHỈNH HÀNH VI DÀNH CHO AI CHATBOT</w:t>
      </w:r>
    </w:p>
    <w:p>
      <w:pPr>
        <w:spacing w:before="0" w:after="120" w:line="276" w:lineRule="auto"/>
      </w:pPr>
      <w:r>
        <w:t>Để hỗ trợ AI RAG chatbot tương tác hiệu quả, dưới đây là các mẫu kịch bản hội thoại chuẩn hóa, bám sát tâm lý học sinh gây bạo lực học đường, giúp dẫn dắt học sinh nhận lỗi và tự nguyện sửa chữa hành vi.</w:t>
      </w:r>
    </w:p>
    <w:p>
      <w:pPr>
        <w:pStyle w:val="Heading2"/>
        <w:keepNext/>
        <w:spacing w:before="240" w:after="120" w:line="276" w:lineRule="auto"/>
      </w:pPr>
      <w:r>
        <w:rPr>
          <w:rFonts w:ascii="Calibri" w:hAnsi="Calibri"/>
          <w:b/>
          <w:i w:val="0"/>
          <w:color w:val="2F5496"/>
          <w:sz w:val="26"/>
        </w:rPr>
        <w:t>4.1 Kịch bản tiếp cận ban đầu khi học sinh có thái độ phòng thủ, chối bỏ</w:t>
      </w:r>
    </w:p>
    <w:p>
      <w:pPr>
        <w:spacing w:before="0" w:after="120" w:line="276" w:lineRule="auto"/>
      </w:pPr>
      <w:r>
        <w:rPr>
          <w:b/>
        </w:rPr>
        <w:t xml:space="preserve">• Học sinh (Dần): </w:t>
      </w:r>
      <w:r>
        <w:t>"Con chẳng làm gì sai cả! Tại bạn ấy lanh chanh, suốt ngày xúi giục người khác nói xấu con trước. Con chỉ muốn dằn mặt bạn ấy một chút cho bạn ấy biết tay thôi!"</w:t>
        <w:br/>
      </w:r>
      <w:r>
        <w:rPr>
          <w:b/>
        </w:rPr>
        <w:t xml:space="preserve">• AI Chatbot: </w:t>
      </w:r>
      <w:r>
        <w:t>"Thầy/cô hiểu là con đang thấy rất bực mình, bất công và tổn thương vì con cảm nhận bạn ấy đang cố tình làm mọi người hiểu lầm về con. Bất kỳ ai rơi vào hoàn cảnh đó cũng khó tránh khỏi cảm giác muốn phản ứng lại mạnh mẽ. Con đã rất dũng cảm khi thẳng thắn nói ra cảm xúc của mình với thầy/cô. Nhưng con có thể cùng thầy/cô nghĩ xem, sau khi con dằn mặt bạn ấy, con có thực sự cảm thấy thoải mái hơn không, hay tình hình trong lớp lại căng thẳng hơn?"</w:t>
        <w:br/>
      </w:r>
      <w:r>
        <w:rPr>
          <w:b/>
        </w:rPr>
        <w:t xml:space="preserve">• Học sinh (Dần): </w:t>
      </w:r>
      <w:r>
        <w:t>"Dạ... bạn ấy khóc rồi đi mách cô giáo chủ nhiệm. Giờ cả lớp nhìn con như một kẻ đầu gấu côn đồ, con ghét lắm!"</w:t>
        <w:br/>
      </w:r>
      <w:r>
        <w:rPr>
          <w:b/>
        </w:rPr>
        <w:t xml:space="preserve">• AI Chatbot: </w:t>
      </w:r>
      <w:r>
        <w:t>"Thầy/cô thấy là con thực sự muốn bảo vệ hình ảnh của mình trước tập thể, chứ không phải muốn mọi người nhìn con như một kẻ đáng sợ hay bắt nạt. Việc con phản ứng mạnh bạo vô tình đã che mất sự đúng đắn ban đầu của con, biến con thành người có lỗi trong mắt mọi người. Chúng ta có thể tìm cách khác dứt khoát hơn mà vẫn tôn trọng bạn, để các bạn khác hiểu đúng về con không?"</w:t>
      </w:r>
    </w:p>
    <w:p>
      <w:pPr>
        <w:pStyle w:val="Heading2"/>
        <w:keepNext/>
        <w:spacing w:before="240" w:after="120" w:line="276" w:lineRule="auto"/>
      </w:pPr>
      <w:r>
        <w:rPr>
          <w:rFonts w:ascii="Calibri" w:hAnsi="Calibri"/>
          <w:b/>
          <w:i w:val="0"/>
          <w:color w:val="2F5496"/>
          <w:sz w:val="26"/>
        </w:rPr>
        <w:t>4.2 Kịch bản hướng dẫn học sinh nhận diện cơn giận và tự xoa dịu</w:t>
      </w:r>
    </w:p>
    <w:p>
      <w:pPr>
        <w:spacing w:before="0" w:after="120" w:line="276" w:lineRule="auto"/>
      </w:pPr>
      <w:r>
        <w:rPr>
          <w:b/>
        </w:rPr>
        <w:t xml:space="preserve">• Học sinh (Tuấn): </w:t>
      </w:r>
      <w:r>
        <w:t>"Mỗi lần thấy bạn Phong từ chối giúp con làm bài kiểm tra, con thấy máu nóng bốc lên đầu, con chỉ muốn lao vào đập bạn ấy ngay lập tức!"</w:t>
        <w:br/>
      </w:r>
      <w:r>
        <w:rPr>
          <w:b/>
        </w:rPr>
        <w:t xml:space="preserve">• AI Chatbot: </w:t>
      </w:r>
      <w:r>
        <w:t>"Cảm ơn con đã chia sẻ thật lòng cảm giác đó. Sự tức giận giống như một cơn bão bất ngờ tràn qua cơ thể con. Khi bão đến, tim con sẽ đập dồn dập, cơ thể nóng bừng và tay muốn đập phá. Con có cảm nhận thấy những thay đổi đó của cơ thể mình lúc tức giận không?"</w:t>
        <w:br/>
      </w:r>
      <w:r>
        <w:rPr>
          <w:b/>
        </w:rPr>
        <w:t xml:space="preserve">• Học sinh (Tuấn): </w:t>
      </w:r>
      <w:r>
        <w:t>"Có ạ, con thấy thở rất gấp và tay chân cứng đờ lại."</w:t>
        <w:br/>
      </w:r>
      <w:r>
        <w:rPr>
          <w:b/>
        </w:rPr>
        <w:t xml:space="preserve">• AI Chatbot: </w:t>
      </w:r>
      <w:r>
        <w:t>"Đúng vậy. Lúc đó, cơn giận đang nắm quyền kiểm soát bộ não con. Thầy/cô khuyên con lần tới khi thấy các dấu hiệu này xuất hiện, hãy áp dụng kỹ thuật thở hình vuông ngay lập tức: dừng lại, hít sâu đếm nhẩm 1-2-3-4, nhịn thở 1-2-3-4, và thở ra từ từ 1-2-3-4. Sau khi thở xong 3-5 chu kỳ, con sẽ thấy cơ thể mát hơn và sáng suốt hơn để nói lời từ chối hoặc thương lượng lành mạnh thay vì sử dụng nắm đấm."</w:t>
      </w:r>
    </w:p>
    <w:p>
      <w:pPr>
        <w:pStyle w:val="Heading2"/>
        <w:keepNext/>
        <w:spacing w:before="240" w:after="120" w:line="276" w:lineRule="auto"/>
      </w:pPr>
      <w:r>
        <w:rPr>
          <w:rFonts w:ascii="Calibri" w:hAnsi="Calibri"/>
          <w:b/>
          <w:i w:val="0"/>
          <w:color w:val="2F5496"/>
          <w:sz w:val="26"/>
        </w:rPr>
        <w:t>4.3 Kịch bản kỉ luật tích cực (thảo luận về hệ quả lôgíc)</w:t>
      </w:r>
    </w:p>
    <w:p>
      <w:pPr>
        <w:spacing w:before="0" w:after="120" w:line="276" w:lineRule="auto"/>
      </w:pPr>
      <w:r>
        <w:rPr>
          <w:b/>
        </w:rPr>
        <w:t xml:space="preserve">• AI Chatbot: </w:t>
      </w:r>
      <w:r>
        <w:t>"Hành vi con cố tình giấu vở bài tập của bạn và đổ nước lên bàn học của bạn đã làm hỏng tài sản cá nhân và khiến bạn không thể làm bài kiểm tra. Hành vi này vi phạm nghiêm trọng nội quy lớp học. Theo con, hệ quả lôgíc phù hợp để con sửa chữa sai lầm này là gì?"</w:t>
        <w:br/>
      </w:r>
      <w:r>
        <w:rPr>
          <w:b/>
        </w:rPr>
        <w:t xml:space="preserve">• Học sinh: </w:t>
      </w:r>
      <w:r>
        <w:t>"Con... con nghĩ con sẽ phải chép phạt 100 lần bài học ạ?"</w:t>
        <w:br/>
      </w:r>
      <w:r>
        <w:rPr>
          <w:b/>
        </w:rPr>
        <w:t xml:space="preserve">• AI Chatbot: </w:t>
      </w:r>
      <w:r>
        <w:t>"Việc chép phạt 100 lần không liên quan trực tiếp đến việc làm bẩn bàn của bạn và làm hỏng vở của bạn. Hệ quả hợp lý và tôn trọng ở đây là: thứ nhất, con cần xin lỗi bạn một cách thẳng thắn; thứ hai, con tự tay lau sạch sẽ bàn học của bạn; thứ ba, con dùng tiền tiết kiệm hoặc xin phép cha mẹ mua đền cho bạn một cuốn vở mới và giúp bạn chép lại những bài học bị ướt. Con thấy phương án này có công bằng và hợp lý để con thể hiện tinh thần trách nhiệm của mình không?"</w:t>
        <w:br/>
      </w:r>
      <w:r>
        <w:rPr>
          <w:b/>
        </w:rPr>
        <w:t xml:space="preserve">• Học sinh: </w:t>
      </w:r>
      <w:r>
        <w:t>"Dạ... con đồng ý ạ. Con sẽ tự lau bàn và mua đền vở mới cho bạn."</w:t>
      </w:r>
    </w:p>
    <w:p>
      <w:pPr>
        <w:pStyle w:val="Heading2"/>
        <w:keepNext/>
        <w:spacing w:before="240" w:after="120" w:line="276" w:lineRule="auto"/>
      </w:pPr>
      <w:r>
        <w:rPr>
          <w:rFonts w:ascii="Calibri" w:hAnsi="Calibri"/>
          <w:b/>
          <w:i w:val="0"/>
          <w:color w:val="2F5496"/>
          <w:sz w:val="26"/>
        </w:rPr>
        <w:t>4.4 Kịch bản hướng dẫn kĩ năng từ chối áp lực tiêu cực từ nhóm bạn xấu</w:t>
      </w:r>
    </w:p>
    <w:p>
      <w:pPr>
        <w:spacing w:before="0" w:after="120" w:line="276" w:lineRule="auto"/>
      </w:pPr>
      <w:r>
        <w:rPr>
          <w:b/>
        </w:rPr>
        <w:t xml:space="preserve">• Học sinh (Việt): </w:t>
      </w:r>
      <w:r>
        <w:t>"Nhóm của bạn Hùng rủ con đi chặn đường xin tiền một bạn lớp 6. Các bạn ấy dọa nếu con không tham gia thì sẽ bị coi là mọt sách yếu đuối, không phải con trai xịn và sẽ bị đuổi khỏi nhóm."</w:t>
        <w:br/>
      </w:r>
      <w:r>
        <w:rPr>
          <w:b/>
        </w:rPr>
        <w:t xml:space="preserve">• AI Chatbot: </w:t>
      </w:r>
      <w:r>
        <w:t>"Thầy/cô hiểu là con đang chịu áp lực đồng trang lứa tiêu cực rất lớn. Con sợ bị lạc lõng, cô độc và bị chối bỏ nếu không nghe theo nhóm bạn. Nhưng con có nghĩ đến hậu quả nghiêm trọng nếu con nhượng bộ không? Hành vi xin tiền bạn lớp 6 là vi phạm pháp luật nghiêm trọng. Con có thể bị đình chỉ học và cha mẹ con sẽ rất đau khổ. Sức mạnh đích thực của con trai xịn không nằm ở việc bắt nạt kẻ yếu hơn."</w:t>
        <w:br/>
      </w:r>
      <w:r>
        <w:rPr>
          <w:b/>
        </w:rPr>
        <w:t xml:space="preserve">• Học sinh (Việt): </w:t>
      </w:r>
      <w:r>
        <w:t>"Dạ đúng ạ, con thực sự không muốn làm điều xấu đó, nhưng con sợ bị các bạn mỉa mai."</w:t>
        <w:br/>
      </w:r>
      <w:r>
        <w:rPr>
          <w:b/>
        </w:rPr>
        <w:t xml:space="preserve">• AI Chatbot: </w:t>
      </w:r>
      <w:r>
        <w:t>"Lúc này, con có quyền nói KHÔNG một cách dứt khoát và rõ ràng theo quy trình 4 bước:</w:t>
        <w:br/>
        <w:t>1. Nhìn thẳng vào mắt người đối diện, không cười cợt hay ngượng ngùng, nói dứt khoát: 'Tớ không đồng ý làm việc này. Trấn lột tiền của bạn lớp dưới là sai pháp luật và tớ không tham gia'.</w:t>
        <w:br/>
        <w:t>2. Nếu các bạn vẫn tiếp tục dọa nạt, hãy lặp lại lời từ chối lớn hơn, dứt khoát hơn.</w:t>
        <w:br/>
        <w:t>3. Ngay lập tức bỏ đi đến chỗ đông người hoặc khu vực văn phòng nhà trường.</w:t>
        <w:br/>
        <w:t>4. Nếu các bạn cố tình cản đường, hãy hô to kêu cứu hoặc báo ngay cho thầy cô chủ nhiệm. Nói KHÔNG với cái xấu chính là sự dũng cảm cao nhất để con tự chủ cuộc sống của mình."</w:t>
      </w:r>
    </w:p>
    <w:p>
      <w:pPr>
        <w:pStyle w:val="Heading1"/>
        <w:keepNext/>
        <w:spacing w:before="360" w:after="240" w:line="276" w:lineRule="auto"/>
      </w:pPr>
      <w:r>
        <w:rPr>
          <w:rFonts w:ascii="Calibri" w:hAnsi="Calibri"/>
          <w:b/>
          <w:i w:val="0"/>
          <w:color w:val="2F5496"/>
          <w:sz w:val="32"/>
        </w:rPr>
        <w:t>PHẦN V: HƯỚNG DẪN PHỐI HỢP VỚI GIA ĐÌNH VÀ PHỤ HUYNH HỌC SINH GÂY BẠO LỰC</w:t>
      </w:r>
    </w:p>
    <w:p>
      <w:pPr>
        <w:spacing w:before="0" w:after="120" w:line="276" w:lineRule="auto"/>
      </w:pPr>
      <w:r>
        <w:t>Sự đồng hành của gia đình quyết định 80% kết quả chuyển hóa hành vi của học sinh gây bạo lực. Khi làm việc với phụ huynh, nhà trường và giáo viên cần tuân thủ các quy tắc phối hợp tích cực, tránh đẩy hai bên vào thế đối đầu căng thẳng.</w:t>
      </w:r>
    </w:p>
    <w:p>
      <w:pPr>
        <w:pStyle w:val="Heading2"/>
        <w:keepNext/>
        <w:spacing w:before="240" w:after="120" w:line="276" w:lineRule="auto"/>
      </w:pPr>
      <w:r>
        <w:rPr>
          <w:rFonts w:ascii="Calibri" w:hAnsi="Calibri"/>
          <w:b/>
          <w:i w:val="0"/>
          <w:color w:val="2F5496"/>
          <w:sz w:val="26"/>
        </w:rPr>
        <w:t>5.1 Quy trình làm việc với phụ huynh của học sinh gây bạo lực</w:t>
      </w:r>
    </w:p>
    <w:p>
      <w:pPr>
        <w:pStyle w:val="ListBullet"/>
        <w:spacing w:before="60" w:after="60" w:line="276" w:lineRule="auto"/>
      </w:pPr>
      <w:r>
        <w:rPr>
          <w:b/>
        </w:rPr>
        <w:t xml:space="preserve">Trấn tĩnh phụ huynh: </w:t>
      </w:r>
      <w:r>
        <w:t>Phụ huynh thường rơi vào trạng thái sốc, tức giận, xấu hổ và muốn phòng thủ khi nghe tin con mình đi bắt nạt bạn khác. Giáo viên cần lắng nghe và giúp họ bình tĩnh lại trước khi phân tích sự việc.</w:t>
      </w:r>
    </w:p>
    <w:p>
      <w:pPr>
        <w:pStyle w:val="ListBullet"/>
        <w:spacing w:before="60" w:after="60" w:line="276" w:lineRule="auto"/>
      </w:pPr>
      <w:r>
        <w:rPr>
          <w:b/>
        </w:rPr>
        <w:t xml:space="preserve">Thông tin khách quan, trung thực: </w:t>
      </w:r>
      <w:r>
        <w:t>Trình bày sự việc dựa trên bằng chứng thu thập được, không thêm thắt cảm xúc chủ quan, không quy kết nhân cách của trẻ mà tập trung vào hành vi sai phạm cụ thể.</w:t>
      </w:r>
    </w:p>
    <w:p>
      <w:pPr>
        <w:pStyle w:val="ListBullet"/>
        <w:spacing w:before="60" w:after="60" w:line="276" w:lineRule="auto"/>
      </w:pPr>
      <w:r>
        <w:rPr>
          <w:b/>
        </w:rPr>
        <w:t xml:space="preserve">Thảo luận về trách nhiệm khắc phục: </w:t>
      </w:r>
      <w:r>
        <w:t>Nếu sự việc nghiêm trọng, hướng dẫn phụ huynh của học sinh gây bạo lực gặp gỡ ôn hòa với phụ huynh nạn nhân để bồi thường vật chất, chi phí y tế và có lời xin lỗi chân thành.</w:t>
      </w:r>
    </w:p>
    <w:p>
      <w:pPr>
        <w:pStyle w:val="ListBullet"/>
        <w:spacing w:before="60" w:after="60" w:line="276" w:lineRule="auto"/>
      </w:pPr>
      <w:r>
        <w:rPr>
          <w:b/>
        </w:rPr>
        <w:t xml:space="preserve">Thống nhất kế hoạch giáo dục: </w:t>
      </w:r>
      <w:r>
        <w:t>Thông báo rõ các hình thức kỷ luật tích cực mà học sinh phải chấp hành ở trường, đồng thời thảo luận và cam kết cách giáo dục con tại nhà phù hợp.</w:t>
      </w:r>
    </w:p>
    <w:p>
      <w:pPr>
        <w:pStyle w:val="Heading2"/>
        <w:keepNext/>
        <w:spacing w:before="240" w:after="120" w:line="276" w:lineRule="auto"/>
      </w:pPr>
      <w:r>
        <w:rPr>
          <w:rFonts w:ascii="Calibri" w:hAnsi="Calibri"/>
          <w:b/>
          <w:i w:val="0"/>
          <w:color w:val="2F5496"/>
          <w:sz w:val="26"/>
        </w:rPr>
        <w:t>5.2 Định hướng thay đổi phong cách làm cha mẹ</w:t>
      </w:r>
    </w:p>
    <w:p>
      <w:pPr>
        <w:spacing w:before="0" w:after="120" w:line="276" w:lineRule="auto"/>
      </w:pPr>
      <w:r>
        <w:t>Giáo viên cần định hướng cho phụ huynh điều chỉnh cách tương tác với con tại gia đình:</w:t>
      </w:r>
    </w:p>
    <w:p>
      <w:pPr>
        <w:pStyle w:val="ListBullet"/>
        <w:spacing w:before="60" w:after="60" w:line="276" w:lineRule="auto"/>
      </w:pPr>
      <w:r>
        <w:rPr>
          <w:b/>
        </w:rPr>
        <w:t xml:space="preserve">Tránh hoàn toàn bạo lực gia đình: </w:t>
      </w:r>
      <w:r>
        <w:t>Nếu cha mẹ sử dụng đòn roi, mắng chửi tàn nhẫn để phạt trẻ khi hay tin con bắt nạt bạn, trẻ sẽ càng tin rằng bạo lực là cách duy nhất để kiểm soát và giải quyết mâu thuẫn, dẫn đến việc tăng cường hành vi bắt nạt bạn học để trả thù âm thầm.</w:t>
      </w:r>
    </w:p>
    <w:p>
      <w:pPr>
        <w:pStyle w:val="ListBullet"/>
        <w:spacing w:before="60" w:after="60" w:line="276" w:lineRule="auto"/>
      </w:pPr>
      <w:r>
        <w:rPr>
          <w:b/>
        </w:rPr>
        <w:t xml:space="preserve">Dành thời gian trò chuyện chất lượng: </w:t>
      </w:r>
      <w:r>
        <w:t>Dành tối thiểu 15 phút mỗi ngày trò chuyện trọn vẹn bên con để thấu hiểu cảm xúc, nhu cầu tinh thần và những áp lực con đang gặp phải.</w:t>
      </w:r>
    </w:p>
    <w:p>
      <w:pPr>
        <w:pStyle w:val="ListBullet"/>
        <w:spacing w:before="60" w:after="60" w:line="276" w:lineRule="auto"/>
      </w:pPr>
      <w:r>
        <w:rPr>
          <w:b/>
        </w:rPr>
        <w:t xml:space="preserve">Làm gương sáng cho con: </w:t>
      </w:r>
      <w:r>
        <w:t>Giao tiếp ôn hòa, giải quyết mâu thuẫn gia đình bằng thương lượng lành mạnh dựa trên sự tôn trọng và yêu thương.</w:t>
      </w:r>
    </w:p>
    <w:p>
      <w:pPr>
        <w:pStyle w:val="Heading1"/>
        <w:keepNext/>
        <w:spacing w:before="360" w:after="240" w:line="276" w:lineRule="auto"/>
      </w:pPr>
      <w:r>
        <w:rPr>
          <w:rFonts w:ascii="Calibri" w:hAnsi="Calibri"/>
          <w:b/>
          <w:i w:val="0"/>
          <w:color w:val="2F5496"/>
          <w:sz w:val="32"/>
        </w:rPr>
        <w:t>PHẦN VI: CÁC TÌNH HUỐNG THỰC TẾ GIẢ ĐỊNH VÀ PHƯƠNG ÁN GIẢI QUYẾT</w:t>
      </w:r>
    </w:p>
    <w:p>
      <w:pPr>
        <w:spacing w:before="0" w:after="120" w:line="276" w:lineRule="auto"/>
      </w:pPr>
      <w:r>
        <w:t>Dưới đây là 3 tình huống giả định điển hình được trích xuất và hệ thống hóa từ nguồn tài liệu thực tiễn của dự án, kèm phương án xử lý chi tiết cho giáo viên và AI.</w:t>
      </w:r>
    </w:p>
    <w:p>
      <w:pPr>
        <w:pStyle w:val="Heading2"/>
        <w:keepNext/>
        <w:spacing w:before="240" w:after="120" w:line="276" w:lineRule="auto"/>
      </w:pPr>
      <w:r>
        <w:rPr>
          <w:rFonts w:ascii="Calibri" w:hAnsi="Calibri"/>
          <w:b/>
          <w:i w:val="0"/>
          <w:color w:val="2F5496"/>
          <w:sz w:val="26"/>
        </w:rPr>
        <w:t>6.1 Tình huống 1: Tuấn (Bắt nạt thể chất và sai khiến trong học tập)</w:t>
      </w:r>
    </w:p>
    <w:p>
      <w:pPr>
        <w:spacing w:before="0" w:after="120" w:line="276" w:lineRule="auto"/>
      </w:pPr>
      <w:r>
        <w:rPr>
          <w:b/>
        </w:rPr>
        <w:t xml:space="preserve">Mô tả tình huống: </w:t>
      </w:r>
      <w:r>
        <w:t>Tuấn học lực kém, gia đình có điều kiện nuông chiều chuộng cho nhiều tiền tiêu vặt. Tuấn lôi kéo nhóm bạn nghe lời mình để thể hiện quyền lực. Cô giáo xếp Phong ngồi cạnh để giúp Tuấn học tập. Tuy nhiên, Tuấn cậy thế ép buộc Phong phải làm bài tập về nhà và làm bài kiểm tra hộ mình. Khi Phong từ chối, vào giờ ra chơi, Tuấn sai Hưng và Thái đóng cửa lớp dồn Phong vào cuối lớp đánh dằn mặt dã man. Tuấn còn đe dọa Phong không được mách ai, nếu không sẽ thuê đầu gấu tiếp tục trừng trị đau hơn để Phong khỏi đi học.</w:t>
      </w:r>
    </w:p>
    <w:p>
      <w:pPr>
        <w:spacing w:before="0" w:after="120" w:line="276" w:lineRule="auto"/>
      </w:pPr>
      <w:r>
        <w:rPr>
          <w:b/>
        </w:rPr>
        <w:t xml:space="preserve">Phương án giải quyết chi tiết của Giáo viên/AI: </w:t>
      </w:r>
    </w:p>
    <w:p>
      <w:pPr>
        <w:pStyle w:val="ListBullet2"/>
        <w:spacing w:before="40" w:after="40" w:line="276" w:lineRule="auto"/>
      </w:pPr>
      <w:r>
        <w:t>Xử lý an toàn khẩn cấp: Tách ngay Phong ra khỏi nhóm của Tuấn để đảm bảo an toàn thể chất cho Phong. Làm việc với ban giám hiệu và giáo viên giám thị để bảo vệ Phong trên đường đi học và tan học về.</w:t>
      </w:r>
    </w:p>
    <w:p>
      <w:pPr>
        <w:pStyle w:val="ListBullet2"/>
        <w:spacing w:before="40" w:after="40" w:line="276" w:lineRule="auto"/>
      </w:pPr>
      <w:r>
        <w:t>Làm việc với Tuấn: Gặp riêng Tuấn. Ghi nhận tính chủ động của con khi muốn đạt kết quả tốt nhưng chỉ rõ hành vi đánh bạn, sai khiến học tập và đe dọa bằng vũ lực là hoàn toàn sai trái, vi phạm quy chế nghiêm trọng. Giúp Tuấn hiểu hậu quả: hành vi này làm tổn hại thể xác Phong, khiến Phong mệt mỏi, sợ học; đồng thời làm Tuấn bị hổng kiến thức nghiêm trọng khi không tự lực làm bài.</w:t>
      </w:r>
    </w:p>
    <w:p>
      <w:pPr>
        <w:pStyle w:val="ListBullet2"/>
        <w:spacing w:before="40" w:after="40" w:line="276" w:lineRule="auto"/>
      </w:pPr>
      <w:r>
        <w:t>Áp dụng hệ quả lôgíc: Tuấn phải chịu hình thức kỷ luật của trường (đình chỉ học tạm thời hoặc cảnh cáo trước hội đồng kỷ luật). Yêu cầu Tuấn phải mua đền sách vở bị hỏng cho Phong, trực tiếp dọn vệ sinh lớp học bù cho phần bạn Phong đã làm. Tuấn và gia đình phải bồi thường chi phí điều trị vết bầm tím của Phong.</w:t>
      </w:r>
    </w:p>
    <w:p>
      <w:pPr>
        <w:pStyle w:val="ListBullet2"/>
        <w:spacing w:before="40" w:after="40" w:line="276" w:lineRule="auto"/>
      </w:pPr>
      <w:r>
        <w:t>Làm việc với phụ huynh: Mời phụ huynh Tuấn, Hưng, Thái lên làm việc khách quan, giải thích rõ hành vi hung hăng của các con. Thống nhất cắt nguồn tiền tiêu vặt quá mức của Tuấn, tăng cường giám sát con sau giờ học.</w:t>
      </w:r>
    </w:p>
    <w:p>
      <w:pPr>
        <w:pStyle w:val="Heading2"/>
        <w:keepNext/>
        <w:spacing w:before="240" w:after="120" w:line="276" w:lineRule="auto"/>
      </w:pPr>
      <w:r>
        <w:rPr>
          <w:rFonts w:ascii="Calibri" w:hAnsi="Calibri"/>
          <w:b/>
          <w:i w:val="0"/>
          <w:color w:val="2F5496"/>
          <w:sz w:val="26"/>
        </w:rPr>
        <w:t>6.2 Tình huống 2: Tùng (Bắt nạt tinh thần, tống tiền và đe dọa bằng hình ảnh nhạy cảm)</w:t>
      </w:r>
    </w:p>
    <w:p>
      <w:pPr>
        <w:spacing w:before="0" w:after="120" w:line="276" w:lineRule="auto"/>
      </w:pPr>
      <w:r>
        <w:rPr>
          <w:b/>
        </w:rPr>
        <w:t xml:space="preserve">Mô tả tình huống: </w:t>
      </w:r>
      <w:r>
        <w:t>Tùng là trưởng nhóm thực hành thí nghiệm. Tùng cậy thế bắt bạn Hương ở lại một mình dọn dẹp phòng thí nghiệm vì cho rằng 'con gái không làm thì ai làm'. Tùng ham chơi điện tử, làm mất tiền của bố mẹ đưa mua sách nên ăn cắp 200.000 đồng của Minh. Sau đó, Tùng ép Hương phải nhận tội lấy tiền hộ mình, dối gạt Minh rằng Hương vì nghèo nên tiêu mất rồi. Khi Hương không đồng ý, Tùng đổi giọng đe dọa: Tùng lấy được từ máy tính của bạn Hùng tấm ảnh Hương và bạn trai hôn nhau thắm thiết. Tùng dọa nếu Hương không nhận tội hộ, Tùng sẽ gửi tấm ảnh nhạy cảm đó về cho bố mẹ Hương.</w:t>
      </w:r>
    </w:p>
    <w:p>
      <w:pPr>
        <w:spacing w:before="0" w:after="120" w:line="276" w:lineRule="auto"/>
      </w:pPr>
      <w:r>
        <w:rPr>
          <w:b/>
        </w:rPr>
        <w:t xml:space="preserve">Phương án giải quyết chi tiết của Giáo viên/AI: </w:t>
      </w:r>
    </w:p>
    <w:p>
      <w:pPr>
        <w:pStyle w:val="ListBullet2"/>
        <w:spacing w:before="40" w:after="40" w:line="276" w:lineRule="auto"/>
      </w:pPr>
      <w:r>
        <w:t>Ngăn chặn khẩn cấp hành vi tống tiền: Yêu cầu Tùng xóa vĩnh viễn tấm ảnh nhạy cảm của Hương khỏi mọi thiết bị lưu trữ. Thu thập bằng chứng tin nhắn tống tiền của Tùng gửi cho Hương để bảo vệ quyền lợi của Hương.</w:t>
      </w:r>
    </w:p>
    <w:p>
      <w:pPr>
        <w:pStyle w:val="ListBullet2"/>
        <w:spacing w:before="40" w:after="40" w:line="276" w:lineRule="auto"/>
      </w:pPr>
      <w:r>
        <w:t>Làm việc với Tùng: Phân tích cho Tùng thấy hành vi bắt bạn dọn phòng vì giới tính là định kiến giới sai lệch. Hành vi ăn cắp tiền, ép bạn nhận tội thay và dùng ảnh nhạy cảm để tống tiền là vi phạm pháp luật hình sự nghiêm trọng (xâm phạm đời tư, cưỡng đoạt tài sản).</w:t>
      </w:r>
    </w:p>
    <w:p>
      <w:pPr>
        <w:pStyle w:val="ListBullet2"/>
        <w:spacing w:before="40" w:after="40" w:line="276" w:lineRule="auto"/>
      </w:pPr>
      <w:r>
        <w:t>Áp dụng hệ quả lôgíc: Tùng phải tự mình hoàn trả lại đầy đủ 200.000 đồng cho Minh và xin lỗi Minh công khai. Tùng phải trực nhật phòng thí nghiệm một mình trong vòng 2 tuần để bù đắp việc đùn đẩy công việc cho Hương. Nhận hình thức kỷ luật thích đáng của nhà trường.</w:t>
      </w:r>
    </w:p>
    <w:p>
      <w:pPr>
        <w:pStyle w:val="ListBullet2"/>
        <w:spacing w:before="40" w:after="40" w:line="276" w:lineRule="auto"/>
      </w:pPr>
      <w:r>
        <w:t>Phối hợp gia đình và can thiệp tâm lý: Mời phụ huynh Tùng lên thông báo trung thực hành vi phạm pháp của con. Hướng dẫn phụ huynh không dùng bạo lực đòn roi đánh đập Tùng mà bình tĩnh hỗ trợ con cai nghiện game, giáo dục lại các giá trị đạo đức lành mạnh.</w:t>
      </w:r>
    </w:p>
    <w:p>
      <w:pPr>
        <w:pStyle w:val="Heading2"/>
        <w:keepNext/>
        <w:spacing w:before="240" w:after="120" w:line="276" w:lineRule="auto"/>
      </w:pPr>
      <w:r>
        <w:rPr>
          <w:rFonts w:ascii="Calibri" w:hAnsi="Calibri"/>
          <w:b/>
          <w:i w:val="0"/>
          <w:color w:val="2F5496"/>
          <w:sz w:val="26"/>
        </w:rPr>
        <w:t>6.3 Tình huống 3: Nhóm học sinh bắt nạt gián tiếp (Cô lập xã hội và mỉa mai lỗi lầm)</w:t>
      </w:r>
    </w:p>
    <w:p>
      <w:pPr>
        <w:spacing w:before="0" w:after="120" w:line="276" w:lineRule="auto"/>
      </w:pPr>
      <w:r>
        <w:rPr>
          <w:b/>
        </w:rPr>
        <w:t xml:space="preserve">Mô tả tình huống: </w:t>
      </w:r>
      <w:r>
        <w:t>L. là lớp trưởng học giỏi, được giáo viên chủ nhiệm tín nhiệm. Bố mẹ L. làm giáo viên luôn động viên và khích lệ con. L. luôn hoàn thành xuất sắc nhiệm vụ đốc thúc bài tập về nhà của các bạn. Điều này khiến một nhóm học sinh ghen tị và ghét L., cho rằng L. cậy thế giáo viên để khoe khoang. Một lần, L. bị mệt nên quên hoàn thành một bài tập. Nhóm học sinh này ngay lập tức xì xào, mỉa mai công khai trước mặt L.: 'Tưởng lớp trưởng gương mẫu thế nào, hóa ra cũng thiếu bài tập như chúng ta. Thế mà suốt ngày kiểm tra bài người khác', 'Con cưng của cô nên cô không phạt đâu', 'Chúng mày nói nhỏ thôi kẻo nó lại mách cô bây giờ'. Các bạn khác trong lớp cười hùa theo khiến L. vô cùng sốc, tủi thân, tự ti và thu mình lại, không dám chia sẻ với ai trước khi nói chuyện với bố mẹ.</w:t>
      </w:r>
    </w:p>
    <w:p>
      <w:pPr>
        <w:spacing w:before="0" w:after="120" w:line="276" w:lineRule="auto"/>
      </w:pPr>
      <w:r>
        <w:rPr>
          <w:b/>
        </w:rPr>
        <w:t xml:space="preserve">Phương án giải quyết chi tiết của Giáo viên/AI: </w:t>
      </w:r>
    </w:p>
    <w:p>
      <w:pPr>
        <w:pStyle w:val="ListBullet2"/>
        <w:spacing w:before="40" w:after="40" w:line="276" w:lineRule="auto"/>
      </w:pPr>
      <w:r>
        <w:t>Làm việc với nhóm học sinh bắt nạt gián tiếp: Gặp riêng nhóm học sinh này. Chỉ rõ hành vi lăng mạ, mỉa mai lỗi lầm và cô lập lớp trưởng là bạo lực tinh thần và xã hội thầm lặng. Hành vi này xuất phát từ lòng đố kỵ, kèn cựa không muốn người khác hơn mình.</w:t>
      </w:r>
    </w:p>
    <w:p>
      <w:pPr>
        <w:pStyle w:val="ListBullet2"/>
        <w:spacing w:before="40" w:after="40" w:line="276" w:lineRule="auto"/>
      </w:pPr>
      <w:r>
        <w:t>Giáo dục sự thấu cảm và chấp nhận khác biệt: Giúp học sinh hiểu ai cũng có lúc mệt mỏi và mắc sai lầm, L. đã rất nỗ lực hoàn thành nhiệm vụ chung của lớp. Việc các bạn xì xào cô lập làm tổn thương sâu sắc lòng tự trọng của L.</w:t>
      </w:r>
    </w:p>
    <w:p>
      <w:pPr>
        <w:pStyle w:val="ListBullet2"/>
        <w:spacing w:before="40" w:after="40" w:line="276" w:lineRule="auto"/>
      </w:pPr>
      <w:r>
        <w:t>Điều chỉnh sư phạm: Giáo viên chủ nhiệm cần tinh tế điều chỉnh cách giao việc cho lớp trưởng L., tránh tạo cho cả lớp cảm giác thiên vị, so sánh. Khuyến khích các bạn trong lớp chia sẻ việc kiểm tra bài tập xoay vòng thay vì dồn hết áp lực lên một mình L.</w:t>
      </w:r>
    </w:p>
    <w:p>
      <w:pPr>
        <w:pStyle w:val="ListBullet2"/>
        <w:spacing w:before="40" w:after="40" w:line="276" w:lineRule="auto"/>
      </w:pPr>
      <w:r>
        <w:t>Hỗ trợ tâm lý cho L.: Động viên L. tiếp tục tự tin thực hiện trách nhiệm của mình, khẳng định con không có lỗi khi bị ốm và mệt mỏi. Giúp con mở rộng mối quan hệ đồng đẳng tích cực.</w:t>
      </w:r>
    </w:p>
    <w:p>
      <w:pPr>
        <w:pStyle w:val="Heading1"/>
        <w:keepNext/>
        <w:spacing w:before="360" w:after="240" w:line="276" w:lineRule="auto"/>
      </w:pPr>
      <w:r>
        <w:rPr>
          <w:rFonts w:ascii="Calibri" w:hAnsi="Calibri"/>
          <w:b/>
          <w:i w:val="0"/>
          <w:color w:val="2F5496"/>
          <w:sz w:val="32"/>
        </w:rPr>
        <w:t>PHẦN VII: DANH BẠ ĐƯỜNG DÂY NÓNG VÀ CƠ SỞ TRỊ LIỆU TÂM LÝ CHUYÊN SÂU</w:t>
      </w:r>
    </w:p>
    <w:p>
      <w:pPr>
        <w:spacing w:before="0" w:after="120" w:line="276" w:lineRule="auto"/>
      </w:pPr>
      <w:r>
        <w:t>Khi hành vi bạo lực học đường hoặc bắt nạt của học sinh có dấu hiệu rối loạn tâm lý nghiêm trọng, hành vi tự hại hoặc bạo lực tình dục phức tạp, giáo viên và phụ huynh cần chủ động liên hệ ngay tới các cơ sở y tế học đường và chuyên khoa uy tín sau để được can thiệp kịp thời:</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2F5496"/>
            <w:tcMar>
              <w:top w:w="120" w:type="dxa"/>
              <w:bottom w:w="120" w:type="dxa"/>
              <w:left w:w="150" w:type="dxa"/>
              <w:right w:w="150" w:type="dxa"/>
            </w:tcMar>
          </w:tcPr>
          <w:p>
            <w:pPr>
              <w:jc w:val="center"/>
            </w:pPr>
            <w:r>
              <w:rPr>
                <w:rFonts w:ascii="Calibri" w:hAnsi="Calibri"/>
                <w:b/>
                <w:i w:val="0"/>
                <w:color w:val="FFFFFF"/>
                <w:sz w:val="20"/>
              </w:rPr>
              <w:t>Tên Cơ sở / Đường dây nóng</w:t>
            </w:r>
          </w:p>
        </w:tc>
        <w:tc>
          <w:tcPr>
            <w:tcW w:type="dxa" w:w="3600"/>
            <w:shd w:fill="2F5496"/>
            <w:tcMar>
              <w:top w:w="120" w:type="dxa"/>
              <w:bottom w:w="120" w:type="dxa"/>
              <w:left w:w="150" w:type="dxa"/>
              <w:right w:w="150" w:type="dxa"/>
            </w:tcMar>
          </w:tcPr>
          <w:p>
            <w:pPr>
              <w:jc w:val="center"/>
            </w:pPr>
            <w:r>
              <w:rPr>
                <w:rFonts w:ascii="Calibri" w:hAnsi="Calibri"/>
                <w:b/>
                <w:i w:val="0"/>
                <w:color w:val="FFFFFF"/>
                <w:sz w:val="20"/>
              </w:rPr>
              <w:t>Dịch vụ và Phạm vi hỗ trợ</w:t>
            </w:r>
          </w:p>
        </w:tc>
        <w:tc>
          <w:tcPr>
            <w:tcW w:type="dxa" w:w="2160"/>
            <w:shd w:fill="2F5496"/>
            <w:tcMar>
              <w:top w:w="120" w:type="dxa"/>
              <w:bottom w:w="120" w:type="dxa"/>
              <w:left w:w="150" w:type="dxa"/>
              <w:right w:w="150" w:type="dxa"/>
            </w:tcMar>
          </w:tcPr>
          <w:p>
            <w:pPr>
              <w:jc w:val="center"/>
            </w:pPr>
            <w:r>
              <w:rPr>
                <w:rFonts w:ascii="Calibri" w:hAnsi="Calibri"/>
                <w:b/>
                <w:i w:val="0"/>
                <w:color w:val="FFFFFF"/>
                <w:sz w:val="20"/>
              </w:rPr>
              <w:t>Thông tin liên hệ</w:t>
            </w:r>
          </w:p>
        </w:tc>
      </w:tr>
      <w:tr>
        <w:tc>
          <w:tcPr>
            <w:tcW w:type="dxa" w:w="3600"/>
            <w:tcMar>
              <w:top w:w="100" w:type="dxa"/>
              <w:bottom w:w="100" w:type="dxa"/>
              <w:left w:w="150" w:type="dxa"/>
              <w:right w:w="150" w:type="dxa"/>
            </w:tcMar>
          </w:tcPr>
          <w:p>
            <w:r>
              <w:rPr>
                <w:b/>
                <w:sz w:val="19"/>
              </w:rPr>
              <w:t>Tổng đài Quốc gia Bảo vệ Trẻ em</w:t>
            </w:r>
          </w:p>
        </w:tc>
        <w:tc>
          <w:tcPr>
            <w:tcW w:type="dxa" w:w="3600"/>
            <w:tcMar>
              <w:top w:w="100" w:type="dxa"/>
              <w:bottom w:w="100" w:type="dxa"/>
              <w:left w:w="150" w:type="dxa"/>
              <w:right w:w="150" w:type="dxa"/>
            </w:tcMar>
          </w:tcPr>
          <w:p>
            <w:r>
              <w:rPr>
                <w:sz w:val="19"/>
              </w:rPr>
              <w:t>Hỗ trợ khẩn cấp, bảo vệ trẻ em khỏi xâm hại, bạo lực học đường.</w:t>
            </w:r>
          </w:p>
        </w:tc>
        <w:tc>
          <w:tcPr>
            <w:tcW w:type="dxa" w:w="2160"/>
            <w:tcMar>
              <w:top w:w="100" w:type="dxa"/>
              <w:bottom w:w="100" w:type="dxa"/>
              <w:left w:w="150" w:type="dxa"/>
              <w:right w:w="150" w:type="dxa"/>
            </w:tcMar>
          </w:tcPr>
          <w:p>
            <w:r>
              <w:rPr>
                <w:sz w:val="19"/>
              </w:rPr>
              <w:t>Hotline: 111 (Miễn phí)</w:t>
              <w:br/>
              <w:t>http://tongdai111.vn</w:t>
            </w:r>
          </w:p>
        </w:tc>
      </w:tr>
      <w:tr>
        <w:tc>
          <w:tcPr>
            <w:tcW w:type="dxa" w:w="3600"/>
            <w:tcMar>
              <w:top w:w="100" w:type="dxa"/>
              <w:bottom w:w="100" w:type="dxa"/>
              <w:left w:w="150" w:type="dxa"/>
              <w:right w:w="150" w:type="dxa"/>
            </w:tcMar>
            <w:shd w:fill="F2F2F2"/>
          </w:tcPr>
          <w:p>
            <w:r>
              <w:rPr>
                <w:b/>
                <w:sz w:val="19"/>
              </w:rPr>
              <w:t>Đường dây nóng Ngày Mai</w:t>
            </w:r>
          </w:p>
        </w:tc>
        <w:tc>
          <w:tcPr>
            <w:tcW w:type="dxa" w:w="3600"/>
            <w:tcMar>
              <w:top w:w="100" w:type="dxa"/>
              <w:bottom w:w="100" w:type="dxa"/>
              <w:left w:w="150" w:type="dxa"/>
              <w:right w:w="150" w:type="dxa"/>
            </w:tcMar>
            <w:shd w:fill="F2F2F2"/>
          </w:tcPr>
          <w:p>
            <w:r>
              <w:rPr>
                <w:sz w:val="19"/>
              </w:rPr>
              <w:t>Hỗ trợ trầm cảm, khủng hoảng tâm lý, ngăn ngừa ý định tự sát.</w:t>
            </w:r>
          </w:p>
        </w:tc>
        <w:tc>
          <w:tcPr>
            <w:tcW w:type="dxa" w:w="2160"/>
            <w:tcMar>
              <w:top w:w="100" w:type="dxa"/>
              <w:bottom w:w="100" w:type="dxa"/>
              <w:left w:w="150" w:type="dxa"/>
              <w:right w:w="150" w:type="dxa"/>
            </w:tcMar>
            <w:shd w:fill="F2F2F2"/>
          </w:tcPr>
          <w:p>
            <w:r>
              <w:rPr>
                <w:sz w:val="19"/>
              </w:rPr>
              <w:t>Hotline: 096 306 1414</w:t>
            </w:r>
          </w:p>
        </w:tc>
      </w:tr>
      <w:tr>
        <w:tc>
          <w:tcPr>
            <w:tcW w:type="dxa" w:w="3600"/>
            <w:tcMar>
              <w:top w:w="100" w:type="dxa"/>
              <w:bottom w:w="100" w:type="dxa"/>
              <w:left w:w="150" w:type="dxa"/>
              <w:right w:w="150" w:type="dxa"/>
            </w:tcMar>
          </w:tcPr>
          <w:p>
            <w:r>
              <w:rPr>
                <w:b/>
                <w:sz w:val="19"/>
              </w:rPr>
              <w:t>Đường dây nóng Blue Blue</w:t>
            </w:r>
          </w:p>
        </w:tc>
        <w:tc>
          <w:tcPr>
            <w:tcW w:type="dxa" w:w="3600"/>
            <w:tcMar>
              <w:top w:w="100" w:type="dxa"/>
              <w:bottom w:w="100" w:type="dxa"/>
              <w:left w:w="150" w:type="dxa"/>
              <w:right w:w="150" w:type="dxa"/>
            </w:tcMar>
          </w:tcPr>
          <w:p>
            <w:r>
              <w:rPr>
                <w:sz w:val="19"/>
              </w:rPr>
              <w:t>Tham vấn sức khỏe tinh thần và ứng phó bạo lực học đường.</w:t>
            </w:r>
          </w:p>
        </w:tc>
        <w:tc>
          <w:tcPr>
            <w:tcW w:type="dxa" w:w="2160"/>
            <w:tcMar>
              <w:top w:w="100" w:type="dxa"/>
              <w:bottom w:w="100" w:type="dxa"/>
              <w:left w:w="150" w:type="dxa"/>
              <w:right w:w="150" w:type="dxa"/>
            </w:tcMar>
          </w:tcPr>
          <w:p>
            <w:r>
              <w:rPr>
                <w:sz w:val="19"/>
              </w:rPr>
              <w:t>Hotline: 1900 9204 phím 3</w:t>
            </w:r>
          </w:p>
        </w:tc>
      </w:tr>
      <w:tr>
        <w:tc>
          <w:tcPr>
            <w:tcW w:type="dxa" w:w="3600"/>
            <w:tcMar>
              <w:top w:w="100" w:type="dxa"/>
              <w:bottom w:w="100" w:type="dxa"/>
              <w:left w:w="150" w:type="dxa"/>
              <w:right w:w="150" w:type="dxa"/>
            </w:tcMar>
            <w:shd w:fill="F2F2F2"/>
          </w:tcPr>
          <w:p>
            <w:r>
              <w:rPr>
                <w:b/>
                <w:sz w:val="19"/>
              </w:rPr>
              <w:t>Viện Sức khỏe Tâm thần Quốc gia - Bệnh viện Bạch Mai</w:t>
            </w:r>
          </w:p>
        </w:tc>
        <w:tc>
          <w:tcPr>
            <w:tcW w:type="dxa" w:w="3600"/>
            <w:tcMar>
              <w:top w:w="100" w:type="dxa"/>
              <w:bottom w:w="100" w:type="dxa"/>
              <w:left w:w="150" w:type="dxa"/>
              <w:right w:w="150" w:type="dxa"/>
            </w:tcMar>
            <w:shd w:fill="F2F2F2"/>
          </w:tcPr>
          <w:p>
            <w:r>
              <w:rPr>
                <w:sz w:val="19"/>
              </w:rPr>
              <w:t>Thăm khám, chẩn đoán rối loạn lo âu, trầm cảm, rối loạn hành vi.</w:t>
            </w:r>
          </w:p>
        </w:tc>
        <w:tc>
          <w:tcPr>
            <w:tcW w:type="dxa" w:w="2160"/>
            <w:tcMar>
              <w:top w:w="100" w:type="dxa"/>
              <w:bottom w:w="100" w:type="dxa"/>
              <w:left w:w="150" w:type="dxa"/>
              <w:right w:w="150" w:type="dxa"/>
            </w:tcMar>
            <w:shd w:fill="F2F2F2"/>
          </w:tcPr>
          <w:p>
            <w:r>
              <w:rPr>
                <w:sz w:val="19"/>
              </w:rPr>
              <w:t>78 Giải Phóng, Hà Nội</w:t>
              <w:br/>
              <w:t>024 3576 5344</w:t>
            </w:r>
          </w:p>
        </w:tc>
      </w:tr>
      <w:tr>
        <w:tc>
          <w:tcPr>
            <w:tcW w:type="dxa" w:w="3600"/>
            <w:tcMar>
              <w:top w:w="100" w:type="dxa"/>
              <w:bottom w:w="100" w:type="dxa"/>
              <w:left w:w="150" w:type="dxa"/>
              <w:right w:w="150" w:type="dxa"/>
            </w:tcMar>
          </w:tcPr>
          <w:p>
            <w:r>
              <w:rPr>
                <w:b/>
                <w:sz w:val="19"/>
              </w:rPr>
              <w:t>Bệnh viện Tâm thần Trung ương I</w:t>
            </w:r>
          </w:p>
        </w:tc>
        <w:tc>
          <w:tcPr>
            <w:tcW w:type="dxa" w:w="3600"/>
            <w:tcMar>
              <w:top w:w="100" w:type="dxa"/>
              <w:bottom w:w="100" w:type="dxa"/>
              <w:left w:w="150" w:type="dxa"/>
              <w:right w:w="150" w:type="dxa"/>
            </w:tcMar>
          </w:tcPr>
          <w:p>
            <w:r>
              <w:rPr>
                <w:sz w:val="19"/>
              </w:rPr>
              <w:t>Điều trị chuyên sâu các rối loạn tâm thần và hành vi tuổi trẻ.</w:t>
            </w:r>
          </w:p>
        </w:tc>
        <w:tc>
          <w:tcPr>
            <w:tcW w:type="dxa" w:w="2160"/>
            <w:tcMar>
              <w:top w:w="100" w:type="dxa"/>
              <w:bottom w:w="100" w:type="dxa"/>
              <w:left w:w="150" w:type="dxa"/>
              <w:right w:w="150" w:type="dxa"/>
            </w:tcMar>
          </w:tcPr>
          <w:p>
            <w:r>
              <w:rPr>
                <w:sz w:val="19"/>
              </w:rPr>
              <w:t>Hòa Bình, Thường Tín, HN</w:t>
              <w:br/>
              <w:t>024 3385 3227</w:t>
            </w:r>
          </w:p>
        </w:tc>
      </w:tr>
      <w:tr>
        <w:tc>
          <w:tcPr>
            <w:tcW w:type="dxa" w:w="3600"/>
            <w:tcMar>
              <w:top w:w="100" w:type="dxa"/>
              <w:bottom w:w="100" w:type="dxa"/>
              <w:left w:w="150" w:type="dxa"/>
              <w:right w:w="150" w:type="dxa"/>
            </w:tcMar>
            <w:shd w:fill="F2F2F2"/>
          </w:tcPr>
          <w:p>
            <w:r>
              <w:rPr>
                <w:b/>
                <w:sz w:val="19"/>
              </w:rPr>
              <w:t>Bệnh viện Tâm thần ban ngày Mai Hương</w:t>
            </w:r>
          </w:p>
        </w:tc>
        <w:tc>
          <w:tcPr>
            <w:tcW w:type="dxa" w:w="3600"/>
            <w:tcMar>
              <w:top w:w="100" w:type="dxa"/>
              <w:bottom w:w="100" w:type="dxa"/>
              <w:left w:w="150" w:type="dxa"/>
              <w:right w:w="150" w:type="dxa"/>
            </w:tcMar>
            <w:shd w:fill="F2F2F2"/>
          </w:tcPr>
          <w:p>
            <w:r>
              <w:rPr>
                <w:sz w:val="19"/>
              </w:rPr>
              <w:t>Liệu pháp nhận thức hành vi chuyên sâu cho học sinh.</w:t>
            </w:r>
          </w:p>
        </w:tc>
        <w:tc>
          <w:tcPr>
            <w:tcW w:type="dxa" w:w="2160"/>
            <w:tcMar>
              <w:top w:w="100" w:type="dxa"/>
              <w:bottom w:w="100" w:type="dxa"/>
              <w:left w:w="150" w:type="dxa"/>
              <w:right w:w="150" w:type="dxa"/>
            </w:tcMar>
            <w:shd w:fill="F2F2F2"/>
          </w:tcPr>
          <w:p>
            <w:r>
              <w:rPr>
                <w:sz w:val="19"/>
              </w:rPr>
              <w:t>4 Hồng Mai, Hà Nội</w:t>
              <w:br/>
              <w:t>024 3627 5762</w:t>
            </w:r>
          </w:p>
        </w:tc>
      </w:tr>
      <w:tr>
        <w:tc>
          <w:tcPr>
            <w:tcW w:type="dxa" w:w="3600"/>
            <w:tcMar>
              <w:top w:w="100" w:type="dxa"/>
              <w:bottom w:w="100" w:type="dxa"/>
              <w:left w:w="150" w:type="dxa"/>
              <w:right w:w="150" w:type="dxa"/>
            </w:tcMar>
          </w:tcPr>
          <w:p>
            <w:r>
              <w:rPr>
                <w:b/>
                <w:sz w:val="19"/>
              </w:rPr>
              <w:t>Bệnh viện Tâm thần TP. Hồ Chí Minh</w:t>
            </w:r>
          </w:p>
        </w:tc>
        <w:tc>
          <w:tcPr>
            <w:tcW w:type="dxa" w:w="3600"/>
            <w:tcMar>
              <w:top w:w="100" w:type="dxa"/>
              <w:bottom w:w="100" w:type="dxa"/>
              <w:left w:w="150" w:type="dxa"/>
              <w:right w:w="150" w:type="dxa"/>
            </w:tcMar>
          </w:tcPr>
          <w:p>
            <w:r>
              <w:rPr>
                <w:sz w:val="19"/>
              </w:rPr>
              <w:t>Khám và trị liệu tâm lý cho học sinh khu vực phía Nam.</w:t>
            </w:r>
          </w:p>
        </w:tc>
        <w:tc>
          <w:tcPr>
            <w:tcW w:type="dxa" w:w="2160"/>
            <w:tcMar>
              <w:top w:w="100" w:type="dxa"/>
              <w:bottom w:w="100" w:type="dxa"/>
              <w:left w:w="150" w:type="dxa"/>
              <w:right w:w="150" w:type="dxa"/>
            </w:tcMar>
          </w:tcPr>
          <w:p>
            <w:r>
              <w:rPr>
                <w:sz w:val="19"/>
              </w:rPr>
              <w:t>766 Võ Văn Kiệt, Q.5, HCM</w:t>
            </w:r>
          </w:p>
        </w:tc>
      </w:tr>
      <w:tr>
        <w:tc>
          <w:tcPr>
            <w:tcW w:type="dxa" w:w="3600"/>
            <w:tcMar>
              <w:top w:w="100" w:type="dxa"/>
              <w:bottom w:w="100" w:type="dxa"/>
              <w:left w:w="150" w:type="dxa"/>
              <w:right w:w="150" w:type="dxa"/>
            </w:tcMar>
            <w:shd w:fill="F2F2F2"/>
          </w:tcPr>
          <w:p>
            <w:r>
              <w:rPr>
                <w:b/>
                <w:sz w:val="19"/>
              </w:rPr>
              <w:t>Ngôi nhà Bình yên (Hội LHPN VN)</w:t>
            </w:r>
          </w:p>
        </w:tc>
        <w:tc>
          <w:tcPr>
            <w:tcW w:type="dxa" w:w="3600"/>
            <w:tcMar>
              <w:top w:w="100" w:type="dxa"/>
              <w:bottom w:w="100" w:type="dxa"/>
              <w:left w:w="150" w:type="dxa"/>
              <w:right w:w="150" w:type="dxa"/>
            </w:tcMar>
            <w:shd w:fill="F2F2F2"/>
          </w:tcPr>
          <w:p>
            <w:r>
              <w:rPr>
                <w:sz w:val="19"/>
              </w:rPr>
              <w:t>Hỗ trợ trẻ em, phụ nữ bị bạo lực gia đình, xâm hại, mua bán người.</w:t>
            </w:r>
          </w:p>
        </w:tc>
        <w:tc>
          <w:tcPr>
            <w:tcW w:type="dxa" w:w="2160"/>
            <w:tcMar>
              <w:top w:w="100" w:type="dxa"/>
              <w:bottom w:w="100" w:type="dxa"/>
              <w:left w:w="150" w:type="dxa"/>
              <w:right w:w="150" w:type="dxa"/>
            </w:tcMar>
            <w:shd w:fill="F2F2F2"/>
          </w:tcPr>
          <w:p>
            <w:r>
              <w:rPr>
                <w:sz w:val="19"/>
              </w:rPr>
              <w:t>Hotline: 1900 969680</w:t>
            </w:r>
          </w:p>
        </w:tc>
      </w:tr>
      <w:tr>
        <w:tc>
          <w:tcPr>
            <w:tcW w:type="dxa" w:w="3600"/>
            <w:tcMar>
              <w:top w:w="100" w:type="dxa"/>
              <w:bottom w:w="100" w:type="dxa"/>
              <w:left w:w="150" w:type="dxa"/>
              <w:right w:w="150" w:type="dxa"/>
            </w:tcMar>
          </w:tcPr>
          <w:p>
            <w:r>
              <w:rPr>
                <w:b/>
                <w:sz w:val="19"/>
              </w:rPr>
              <w:t>Tổ chức CSAGA</w:t>
            </w:r>
          </w:p>
        </w:tc>
        <w:tc>
          <w:tcPr>
            <w:tcW w:type="dxa" w:w="3600"/>
            <w:tcMar>
              <w:top w:w="100" w:type="dxa"/>
              <w:bottom w:w="100" w:type="dxa"/>
              <w:left w:w="150" w:type="dxa"/>
              <w:right w:w="150" w:type="dxa"/>
            </w:tcMar>
          </w:tcPr>
          <w:p>
            <w:r>
              <w:rPr>
                <w:sz w:val="19"/>
              </w:rPr>
              <w:t>Can thiệp, bảo vệ trẻ em khỏi bạo lực giới và xâm hại tình dục.</w:t>
            </w:r>
          </w:p>
        </w:tc>
        <w:tc>
          <w:tcPr>
            <w:tcW w:type="dxa" w:w="2160"/>
            <w:tcMar>
              <w:top w:w="100" w:type="dxa"/>
              <w:bottom w:w="100" w:type="dxa"/>
              <w:left w:w="150" w:type="dxa"/>
              <w:right w:w="150" w:type="dxa"/>
            </w:tcMar>
          </w:tcPr>
          <w:p>
            <w:r>
              <w:rPr>
                <w:sz w:val="19"/>
              </w:rPr>
              <w:t>Hotline: 024 3333 5599</w:t>
            </w:r>
          </w:p>
        </w:tc>
      </w:tr>
    </w:tbl>
    <w:p>
      <w:pPr>
        <w:spacing w:before="240" w:after="240" w:line="276" w:lineRule="auto"/>
      </w:pPr>
      <w:r>
        <w:t>Tài liệu này đóng vai trò là khung lý thuyết lõi và hướng dẫn can thiệp sư phạm chuẩn mực đối với đối tượng học sinh gây ra bạo lực học đường. Các hệ thống AI RAG cần bám sát các phân loại, quy trình 5 bước và các phương pháp kỷ luật tích cực trên đây để xây dựng kịch bản hội thoại và truy vấn phản hồi chính xác.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08080"/>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808080"/>
        <w:sz w:val="17"/>
      </w:rPr>
      <w:t>KHUNG LÝ THUYẾT &amp; PHƯƠNG PHÁP GIÁO DỤC HỌC SINH GÂY BẠO LỰC HỌC ĐƯỜNG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