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TP-C050</w:t>
      </w:r>
    </w:p>
    <w:p>
      <w:pPr>
        <w:spacing w:before="0" w:after="160" w:line="240" w:lineRule="auto"/>
        <w:pBdr>
          <w:bottom w:val="single" w:sz="24" w:space="5" w:color="176FD1"/>
        </w:pBdr>
      </w:pPr>
      <w:r>
        <w:rPr>
          <w:rFonts w:ascii="Arial" w:hAnsi="Arial"/>
          <w:b/>
          <w:i w:val="0"/>
          <w:color w:val="667085"/>
          <w:sz w:val="23"/>
        </w:rPr>
        <w:t>RUTILE TITANIUM DIOXIDE | ELECTROPHORETIC &amp; GENERAL COATINGS</w:t>
      </w:r>
    </w:p>
    <w:p>
      <w:pPr>
        <w:spacing w:before="0" w:after="140" w:line="259" w:lineRule="auto"/>
      </w:pPr>
      <w:r>
        <w:rPr>
          <w:rFonts w:ascii="Arial" w:hAnsi="Arial"/>
          <w:b w:val="0"/>
          <w:i w:val="0"/>
          <w:color w:val="24344A"/>
          <w:sz w:val="17"/>
        </w:rPr>
        <w:t>TIOVAR TP-C050 is a chloride-process rutile titanium dioxide pigment described by the supplier as specially treated, with excellent optical properties and lower ion content. It is intended for formulation evaluation in electrophoretic paints and general interior coatings.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electrophoretic primers and the cited secondary and finishing electrophoretic coating systems</w:t>
            </w:r>
          </w:p>
          <w:p>
            <w:pPr>
              <w:pStyle w:val="ListBullet"/>
              <w:spacing w:before="0" w:after="30" w:line="240" w:lineRule="auto"/>
              <w:ind w:left="259" w:hanging="144"/>
            </w:pPr>
            <w:r>
              <w:rPr>
                <w:rFonts w:ascii="Arial" w:hAnsi="Arial"/>
                <w:b w:val="0"/>
                <w:i w:val="0"/>
                <w:color w:val="24344A"/>
                <w:sz w:val="16"/>
              </w:rPr>
              <w:t>Formulation evaluation in industrial electrophoretic coatings for household appliances, electromechanical equipment, hardware and electronics</w:t>
            </w:r>
          </w:p>
          <w:p>
            <w:pPr>
              <w:pStyle w:val="ListBullet"/>
              <w:spacing w:before="0" w:after="30" w:line="240" w:lineRule="auto"/>
              <w:ind w:left="259" w:hanging="144"/>
            </w:pPr>
            <w:r>
              <w:rPr>
                <w:rFonts w:ascii="Arial" w:hAnsi="Arial"/>
                <w:b w:val="0"/>
                <w:i w:val="0"/>
                <w:color w:val="24344A"/>
                <w:sz w:val="16"/>
              </w:rPr>
              <w:t>Formulation evaluation in interior architectural paints and industrial coatings</w:t>
            </w:r>
          </w:p>
          <w:p>
            <w:pPr>
              <w:pStyle w:val="ListBullet"/>
              <w:spacing w:before="0" w:after="30" w:line="240" w:lineRule="auto"/>
              <w:ind w:left="259" w:hanging="144"/>
            </w:pPr>
            <w:r>
              <w:rPr>
                <w:rFonts w:ascii="Arial" w:hAnsi="Arial"/>
                <w:b w:val="0"/>
                <w:i w:val="0"/>
                <w:color w:val="24344A"/>
                <w:sz w:val="16"/>
              </w:rPr>
              <w:t>Formulation evaluation in powder paints</w:t>
            </w:r>
          </w:p>
          <w:p>
            <w:pPr>
              <w:pStyle w:val="ListBullet"/>
              <w:spacing w:before="0" w:after="30" w:line="240" w:lineRule="auto"/>
              <w:ind w:left="259" w:hanging="144"/>
            </w:pPr>
            <w:r>
              <w:rPr>
                <w:rFonts w:ascii="Arial" w:hAnsi="Arial"/>
                <w:b w:val="0"/>
                <w:i w:val="0"/>
                <w:color w:val="24344A"/>
                <w:sz w:val="16"/>
              </w:rPr>
              <w:t>Formulation evaluation in water-borne and solvent-borne inks</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High whiteness</w:t>
            </w:r>
          </w:p>
          <w:p>
            <w:pPr>
              <w:pStyle w:val="ListBullet"/>
              <w:spacing w:before="0" w:after="30" w:line="240" w:lineRule="auto"/>
              <w:ind w:left="259" w:hanging="144"/>
            </w:pPr>
            <w:r>
              <w:rPr>
                <w:rFonts w:ascii="Arial" w:hAnsi="Arial"/>
                <w:b w:val="0"/>
                <w:i w:val="0"/>
                <w:color w:val="24344A"/>
                <w:sz w:val="16"/>
              </w:rPr>
              <w:t>High gloss</w:t>
            </w:r>
          </w:p>
          <w:p>
            <w:pPr>
              <w:pStyle w:val="ListBullet"/>
              <w:spacing w:before="0" w:after="30" w:line="240" w:lineRule="auto"/>
              <w:ind w:left="259" w:hanging="144"/>
            </w:pPr>
            <w:r>
              <w:rPr>
                <w:rFonts w:ascii="Arial" w:hAnsi="Arial"/>
                <w:b w:val="0"/>
                <w:i w:val="0"/>
                <w:color w:val="24344A"/>
                <w:sz w:val="16"/>
              </w:rPr>
              <w:t>High hiding power</w:t>
            </w:r>
          </w:p>
          <w:p>
            <w:pPr>
              <w:pStyle w:val="ListBullet"/>
              <w:spacing w:before="0" w:after="30" w:line="240" w:lineRule="auto"/>
              <w:ind w:left="259" w:hanging="144"/>
            </w:pPr>
            <w:r>
              <w:rPr>
                <w:rFonts w:ascii="Arial" w:hAnsi="Arial"/>
                <w:b w:val="0"/>
                <w:i w:val="0"/>
                <w:color w:val="24344A"/>
                <w:sz w:val="16"/>
              </w:rPr>
              <w:t>Low ion content</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95</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98.4</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4.1</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7.5</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13.0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Mean particle size, micrometres</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0.28</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Electrical resistivity, Ω•m</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500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lower ion content for this coating grade. Verification in the intended formulation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TP-C050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TP-C050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TP-C050 Technical Data Sheet</dc:title>
  <dc:subject>TIOVAR TP-C050 draft technical data sheet</dc:subject>
  <dc:creator/>
  <cp:keywords>TIOVAR, TP-C050,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