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TP-P200</w:t>
      </w:r>
    </w:p>
    <w:p>
      <w:pPr>
        <w:spacing w:before="0" w:after="160" w:line="240" w:lineRule="auto"/>
        <w:pBdr>
          <w:bottom w:val="single" w:sz="24" w:space="5" w:color="176FD1"/>
        </w:pBdr>
      </w:pPr>
      <w:r>
        <w:rPr>
          <w:rFonts w:ascii="Arial" w:hAnsi="Arial"/>
          <w:b/>
          <w:i w:val="0"/>
          <w:color w:val="667085"/>
          <w:sz w:val="23"/>
        </w:rPr>
        <w:t>RUTILE TITANIUM DIOXIDE | EXTERIOR PLASTICS</w:t>
      </w:r>
    </w:p>
    <w:p>
      <w:pPr>
        <w:spacing w:before="0" w:after="140" w:line="259" w:lineRule="auto"/>
      </w:pPr>
      <w:r>
        <w:rPr>
          <w:rFonts w:ascii="Arial" w:hAnsi="Arial"/>
          <w:b w:val="0"/>
          <w:i w:val="0"/>
          <w:color w:val="24344A"/>
          <w:sz w:val="17"/>
        </w:rPr>
        <w:t>TIOVAR TP-P200 is a chloride-process rutile titanium dioxide pigment described by the supplier as using special surface treatment technology for plastic systems. It is intended for formulation evaluation in exterior plastics.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high-durability uPVC extruded products, such as profiles, plates and exterior furniture</w:t>
            </w:r>
          </w:p>
          <w:p>
            <w:pPr>
              <w:pStyle w:val="ListBullet"/>
              <w:spacing w:before="0" w:after="30" w:line="240" w:lineRule="auto"/>
              <w:ind w:left="259" w:hanging="144"/>
            </w:pPr>
            <w:r>
              <w:rPr>
                <w:rFonts w:ascii="Arial" w:hAnsi="Arial"/>
                <w:b w:val="0"/>
                <w:i w:val="0"/>
                <w:color w:val="24344A"/>
                <w:sz w:val="16"/>
              </w:rPr>
              <w:t>Formulation evaluation in PVC calendering films, such as advertising plastic sheeting</w:t>
            </w:r>
          </w:p>
          <w:p>
            <w:pPr>
              <w:pStyle w:val="ListBullet"/>
              <w:spacing w:before="0" w:after="30" w:line="240" w:lineRule="auto"/>
              <w:ind w:left="259" w:hanging="144"/>
            </w:pPr>
            <w:r>
              <w:rPr>
                <w:rFonts w:ascii="Arial" w:hAnsi="Arial"/>
                <w:b w:val="0"/>
                <w:i w:val="0"/>
                <w:color w:val="24344A"/>
                <w:sz w:val="16"/>
              </w:rPr>
              <w:t>Formulation evaluation in weather-resistant color masterbatches</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High weatherability</w:t>
            </w:r>
          </w:p>
          <w:p>
            <w:pPr>
              <w:pStyle w:val="ListBullet"/>
              <w:spacing w:before="0" w:after="30" w:line="240" w:lineRule="auto"/>
              <w:ind w:left="259" w:hanging="144"/>
            </w:pPr>
            <w:r>
              <w:rPr>
                <w:rFonts w:ascii="Arial" w:hAnsi="Arial"/>
                <w:b w:val="0"/>
                <w:i w:val="0"/>
                <w:color w:val="24344A"/>
                <w:sz w:val="16"/>
              </w:rPr>
              <w:t>Excellent processing property</w:t>
            </w:r>
          </w:p>
          <w:p>
            <w:pPr>
              <w:pStyle w:val="ListBullet"/>
              <w:spacing w:before="0" w:after="30" w:line="240" w:lineRule="auto"/>
              <w:ind w:left="259" w:hanging="144"/>
            </w:pPr>
            <w:r>
              <w:rPr>
                <w:rFonts w:ascii="Arial" w:hAnsi="Arial"/>
                <w:b w:val="0"/>
                <w:i w:val="0"/>
                <w:color w:val="24344A"/>
                <w:sz w:val="16"/>
              </w:rPr>
              <w:t>High color fastness</w:t>
            </w:r>
          </w:p>
          <w:p>
            <w:pPr>
              <w:pStyle w:val="ListBullet"/>
              <w:spacing w:before="0" w:after="30" w:line="240" w:lineRule="auto"/>
              <w:ind w:left="259" w:hanging="144"/>
            </w:pPr>
            <w:r>
              <w:rPr>
                <w:rFonts w:ascii="Arial" w:hAnsi="Arial"/>
                <w:b w:val="0"/>
                <w:i w:val="0"/>
                <w:color w:val="24344A"/>
                <w:sz w:val="16"/>
              </w:rPr>
              <w:t>High anti-chalking</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92</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98.2</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(during packing), wt%</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Acid solubility</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0.50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13.0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dispersibility and processing rheology in plastic systems.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rsidR="00FC693F" w:rsidRPr="0006063C" w:rsidSect="00034616">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TP-P200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TP-P200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TP-P200 Technical Data Sheet</dc:title>
  <dc:subject>TIOVAR TP-P200 draft technical data sheet</dc:subject>
  <dc:creator/>
  <cp:keywords>TIOVAR, TP-P200,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