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TP-C400</w:t>
      </w:r>
    </w:p>
    <w:p>
      <w:pPr>
        <w:spacing w:before="0" w:after="160" w:line="240" w:lineRule="auto"/>
        <w:pBdr>
          <w:bottom w:val="single" w:sz="24" w:space="5" w:color="176FD1"/>
        </w:pBdr>
      </w:pPr>
      <w:r>
        <w:rPr>
          <w:rFonts w:ascii="Arial" w:hAnsi="Arial"/>
          <w:b/>
          <w:i w:val="0"/>
          <w:color w:val="667085"/>
          <w:sz w:val="23"/>
        </w:rPr>
        <w:t>RUTILE TITANIUM DIOXIDE | ULTRA-HIGH WEATHERABILITY COATINGS</w:t>
      </w:r>
    </w:p>
    <w:p>
      <w:pPr>
        <w:spacing w:before="0" w:after="140" w:line="259" w:lineRule="auto"/>
      </w:pPr>
      <w:r>
        <w:rPr>
          <w:rFonts w:ascii="Arial" w:hAnsi="Arial"/>
          <w:b w:val="0"/>
          <w:i w:val="0"/>
          <w:color w:val="24344A"/>
          <w:sz w:val="17"/>
        </w:rPr>
        <w:t>TIOVAR TP-C400 is a chloride-process rutile titanium dioxide pigment. The supplier describes special inorganic and organic surface treatment and ultra-high weather resistance for this grade. It is intended for formulation evaluation where durability, weather resistance, gloss, hiding power, dispersibility, chalk resistance and color retention are required.</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automotive OEM and refinishing coatings</w:t>
            </w:r>
          </w:p>
          <w:p>
            <w:pPr>
              <w:pStyle w:val="ListBullet"/>
              <w:spacing w:before="0" w:after="30" w:line="240" w:lineRule="auto"/>
              <w:ind w:left="259" w:hanging="144"/>
            </w:pPr>
            <w:r>
              <w:rPr>
                <w:rFonts w:ascii="Arial" w:hAnsi="Arial"/>
                <w:b w:val="0"/>
                <w:i w:val="0"/>
                <w:color w:val="24344A"/>
                <w:sz w:val="16"/>
              </w:rPr>
              <w:t>Formulation evaluation in marine paint and aerospace coatings</w:t>
            </w:r>
          </w:p>
          <w:p>
            <w:pPr>
              <w:pStyle w:val="ListBullet"/>
              <w:spacing w:before="0" w:after="30" w:line="240" w:lineRule="auto"/>
              <w:ind w:left="259" w:hanging="144"/>
            </w:pPr>
            <w:r>
              <w:rPr>
                <w:rFonts w:ascii="Arial" w:hAnsi="Arial"/>
                <w:b w:val="0"/>
                <w:i w:val="0"/>
                <w:color w:val="24344A"/>
                <w:sz w:val="16"/>
              </w:rPr>
              <w:t>Formulation evaluation in exterior and industrial coatings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durability</w:t>
            </w:r>
          </w:p>
          <w:p>
            <w:pPr>
              <w:pStyle w:val="ListBullet"/>
              <w:spacing w:before="0" w:after="30" w:line="240" w:lineRule="auto"/>
              <w:ind w:left="259" w:hanging="144"/>
            </w:pPr>
            <w:r>
              <w:rPr>
                <w:rFonts w:ascii="Arial" w:hAnsi="Arial"/>
                <w:b w:val="0"/>
                <w:i w:val="0"/>
                <w:color w:val="24344A"/>
                <w:sz w:val="16"/>
              </w:rPr>
              <w:t>High gloss</w:t>
            </w:r>
          </w:p>
          <w:p>
            <w:pPr>
              <w:pStyle w:val="ListBullet"/>
              <w:spacing w:before="0" w:after="30" w:line="240" w:lineRule="auto"/>
              <w:ind w:left="259" w:hanging="144"/>
            </w:pPr>
            <w:r>
              <w:rPr>
                <w:rFonts w:ascii="Arial" w:hAnsi="Arial"/>
                <w:b w:val="0"/>
                <w:i w:val="0"/>
                <w:color w:val="24344A"/>
                <w:sz w:val="16"/>
              </w:rPr>
              <w:t>High hiding power</w:t>
            </w:r>
          </w:p>
          <w:p>
            <w:pPr>
              <w:pStyle w:val="ListBullet"/>
              <w:spacing w:before="0" w:after="30" w:line="240" w:lineRule="auto"/>
              <w:ind w:left="259" w:hanging="144"/>
            </w:pPr>
            <w:r>
              <w:rPr>
                <w:rFonts w:ascii="Arial" w:hAnsi="Arial"/>
                <w:b w:val="0"/>
                <w:i w:val="0"/>
                <w:color w:val="24344A"/>
                <w:sz w:val="16"/>
              </w:rPr>
              <w:t>Excellent chalk resistance and color retention performance</w:t>
            </w:r>
          </w:p>
          <w:p>
            <w:pPr>
              <w:pStyle w:val="ListBullet"/>
              <w:spacing w:before="0" w:after="30" w:line="240" w:lineRule="auto"/>
              <w:ind w:left="259" w:hanging="144"/>
            </w:pPr>
            <w:r>
              <w:rPr>
                <w:rFonts w:ascii="Arial" w:hAnsi="Arial"/>
                <w:b w:val="0"/>
                <w:i w:val="0"/>
                <w:color w:val="24344A"/>
                <w:sz w:val="16"/>
              </w:rPr>
              <w:t>Good dispersibility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Acid solubility</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13.0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20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reports good dispersibility. Verification in the formulation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TP-C400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TP-C400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TP-C400 Technical Data Sheet</dc:title>
  <dc:subject>TIOVAR TP-C400 draft technical data sheet</dc:subject>
  <dc:creator/>
  <cp:keywords>TIOVAR, TP-C400,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