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/>
          <w:i w:val="0"/>
          <w:color w:val="176FD1"/>
          <w:sz w:val="62"/>
        </w:rPr>
        <w:t>TP-H100</w:t>
      </w:r>
    </w:p>
    <w:p>
      <w:pPr>
        <w:spacing w:before="0" w:after="160" w:line="240" w:lineRule="auto"/>
        <w:pBdr>
          <w:bottom w:val="single" w:sz="24" w:space="5" w:color="176FD1"/>
        </w:pBdr>
      </w:pPr>
      <w:r>
        <w:rPr>
          <w:rFonts w:ascii="Arial" w:hAnsi="Arial"/>
          <w:b/>
          <w:i w:val="0"/>
          <w:color w:val="667085"/>
          <w:sz w:val="23"/>
        </w:rPr>
        <w:t>RUTILE TITANIUM DIOXIDE | HIGH-PURITY FUNCTIONAL APPLICATIONS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24344A"/>
          <w:sz w:val="17"/>
        </w:rPr>
        <w:t>TIOVAR TP-H100 is a high-purity titanium dioxide grade described by the supplier as being produced by a vapor-phase oxidation method. The supplier reports high purity, low impurity content, narrow particle size distribution, good dispersion and stable quality between batches. It is intended for formulation evaluation in high-purity functional applications.</w:t>
      </w:r>
    </w:p>
    <w:tbl>
      <w:tblPr>
        <w:tblW w:type="dxa" w:w="107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00"/>
        <w:gridCol w:w="250"/>
        <w:gridCol w:w="6550"/>
      </w:tblGrid>
      <w:tr>
        <w:trPr>
          <w:cantSplit/>
        </w:trPr>
        <w:tc>
          <w:tcPr>
            <w:tcW w:type="dxa" w:w="3900"/>
            <w:vAlign w:val="top"/>
            <w:tcMar>
              <w:top w:w="160" w:type="dxa"/>
              <w:bottom w:w="150" w:type="dxa"/>
              <w:start w:w="220" w:type="dxa"/>
              <w:end w:w="220" w:type="dxa"/>
            </w:tcMar>
            <w:tcBorders>
              <w:top w:val="single" w:sz="8" w:color="C7CCD3"/>
              <w:left w:val="single" w:sz="8" w:color="C7CCD3"/>
              <w:bottom w:val="single" w:sz="8" w:color="C7CCD3"/>
              <w:right w:val="single" w:sz="8" w:color="C7CCD3"/>
            </w:tcBorders>
            <w:shd w:fill="FFFFFF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i w:val="0"/>
                <w:color w:val="0A1F44"/>
                <w:sz w:val="27"/>
              </w:rPr>
              <w:t>Applications</w:t>
            </w:r>
          </w:p>
          <w:p>
            <w:pPr>
              <w:pStyle w:val="ListBullet"/>
              <w:spacing w:before="0" w:after="30" w:line="240" w:lineRule="auto"/>
              <w:ind w:left="259" w:hanging="144"/>
            </w:pPr>
            <w:r>
              <w:rPr>
                <w:rFonts w:ascii="Arial" w:hAnsi="Arial"/>
                <w:b w:val="0"/>
                <w:i w:val="0"/>
                <w:color w:val="24344A"/>
                <w:sz w:val="16"/>
              </w:rPr>
              <w:t>Formulation evaluation in electronic ceramics including MLCC, PTC, VDR and soft ferrite</w:t>
            </w:r>
          </w:p>
          <w:p>
            <w:pPr>
              <w:pStyle w:val="ListBullet"/>
              <w:spacing w:before="0" w:after="30" w:line="240" w:lineRule="auto"/>
              <w:ind w:left="259" w:hanging="144"/>
            </w:pPr>
            <w:r>
              <w:rPr>
                <w:rFonts w:ascii="Arial" w:hAnsi="Arial"/>
                <w:b w:val="0"/>
                <w:i w:val="0"/>
                <w:color w:val="24344A"/>
                <w:sz w:val="16"/>
              </w:rPr>
              <w:t>Formulation evaluation in optical glass and battery applications</w:t>
            </w:r>
          </w:p>
          <w:p>
            <w:pPr>
              <w:pStyle w:val="ListBullet"/>
              <w:spacing w:before="0" w:after="30" w:line="240" w:lineRule="auto"/>
              <w:ind w:left="259" w:hanging="144"/>
            </w:pPr>
            <w:r>
              <w:rPr>
                <w:rFonts w:ascii="Arial" w:hAnsi="Arial"/>
                <w:b w:val="0"/>
                <w:i w:val="0"/>
                <w:color w:val="24344A"/>
                <w:sz w:val="16"/>
              </w:rPr>
              <w:t>Formulation evaluation in cosmetics, medicine and special metallurgy applications</w:t>
            </w:r>
          </w:p>
          <w:p>
            <w:pPr>
              <w:spacing w:before="60" w:after="100" w:line="240" w:lineRule="auto"/>
              <w:pBdr>
                <w:bottom w:val="single" w:sz="6" w:space="5" w:color="C7CCD3"/>
              </w:pBdr>
            </w:pPr>
            <w:r/>
          </w:p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i w:val="0"/>
                <w:color w:val="0A1F44"/>
                <w:sz w:val="22"/>
              </w:rPr>
              <w:t>Supplier-reported Key Features</w:t>
            </w:r>
          </w:p>
          <w:p>
            <w:pPr>
              <w:pStyle w:val="ListBullet"/>
              <w:spacing w:before="0" w:after="30" w:line="240" w:lineRule="auto"/>
              <w:ind w:left="259" w:hanging="144"/>
            </w:pPr>
            <w:r>
              <w:rPr>
                <w:rFonts w:ascii="Arial" w:hAnsi="Arial"/>
                <w:b w:val="0"/>
                <w:i w:val="0"/>
                <w:color w:val="24344A"/>
                <w:sz w:val="16"/>
              </w:rPr>
              <w:t>High purity, low impurity content and stable quality</w:t>
            </w:r>
          </w:p>
          <w:p>
            <w:pPr>
              <w:pStyle w:val="ListBullet"/>
              <w:spacing w:before="0" w:after="30" w:line="240" w:lineRule="auto"/>
              <w:ind w:left="259" w:hanging="144"/>
            </w:pPr>
            <w:r>
              <w:rPr>
                <w:rFonts w:ascii="Arial" w:hAnsi="Arial"/>
                <w:b w:val="0"/>
                <w:i w:val="0"/>
                <w:color w:val="24344A"/>
                <w:sz w:val="16"/>
              </w:rPr>
              <w:t>High dielectric constant and excellent electrical properties</w:t>
            </w:r>
          </w:p>
        </w:tc>
        <w:tc>
          <w:tcPr>
            <w:tcW w:type="dxa" w:w="2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65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i w:val="0"/>
                <w:color w:val="0A1F44"/>
                <w:sz w:val="27"/>
              </w:rPr>
              <w:t>Reported Technical Data</w:t>
            </w:r>
          </w:p>
          <w:tbl>
            <w:tblPr>
              <w:tblW w:type="dxa" w:w="655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4250"/>
              <w:gridCol w:w="2300"/>
            </w:tblGrid>
            <w:tr>
              <w:trPr>
                <w:cantSplit/>
                <w:tblHeader w:val="true"/>
              </w:trPr>
              <w:tc>
                <w:tcPr>
                  <w:tcW w:type="dxa" w:w="4250"/>
                  <w:vAlign w:val="center"/>
                  <w:shd w:fill="176FD1"/>
                  <w:tcMar>
                    <w:top w:w="70" w:type="dxa"/>
                    <w:bottom w:w="70" w:type="dxa"/>
                    <w:start w:w="10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6"/>
                    </w:rPr>
                    <w:t>Property</w:t>
                  </w:r>
                </w:p>
              </w:tc>
              <w:tc>
                <w:tcPr>
                  <w:tcW w:type="dxa" w:w="2300"/>
                  <w:vAlign w:val="center"/>
                  <w:shd w:fill="176FD1"/>
                  <w:tcMar>
                    <w:top w:w="70" w:type="dxa"/>
                    <w:bottom w:w="70" w:type="dxa"/>
                    <w:start w:w="10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6"/>
                    </w:rPr>
                    <w:t>Reported Value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TiO2 content,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99.97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Rutile content,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99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Specific surface area, m2/g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&lt;6; 6-8; 8-10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Volatile matter,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0.1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Al,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0.0020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Fe,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0.0010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K,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0.0001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Na,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FFFFF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0.0050</w:t>
                  </w:r>
                </w:p>
              </w:tc>
            </w:tr>
            <w:tr>
              <w:tc>
                <w:tcPr>
                  <w:tcW w:type="dxa" w:w="425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P, %</w:t>
                  </w:r>
                </w:p>
              </w:tc>
              <w:tc>
                <w:tcPr>
                  <w:tcW w:type="dxa" w:w="2300"/>
                  <w:tcMar>
                    <w:top w:w="78" w:type="dxa"/>
                    <w:bottom w:w="78" w:type="dxa"/>
                    <w:start w:w="100" w:type="dxa"/>
                    <w:end w:w="100" w:type="dxa"/>
                  </w:tcMar>
                  <w:shd w:fill="F1F4F8"/>
                  <w:tcBorders>
                    <w:top w:val="single" w:sz="4" w:color="D8E0EA"/>
                    <w:left w:val="single" w:sz="4" w:color="D8E0EA"/>
                    <w:bottom w:val="single" w:sz="4" w:color="D8E0EA"/>
                    <w:right w:val="single" w:sz="4" w:color="D8E0EA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color w:val="24344A"/>
                      <w:sz w:val="15"/>
                    </w:rPr>
                    <w:t>0.0005</w:t>
                  </w:r>
                </w:p>
              </w:tc>
            </w:tr>
          </w:tbl>
          <w:p/>
        </w:tc>
      </w:tr>
    </w:tbl>
    <w:p>
      <w:pPr>
        <w:spacing w:before="0" w:after="60" w:line="240" w:lineRule="auto"/>
      </w:pPr>
    </w:p>
    <w:tbl>
      <w:tblPr>
        <w:tblW w:type="dxa" w:w="107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00"/>
        <w:gridCol w:w="250"/>
        <w:gridCol w:w="4850"/>
      </w:tblGrid>
      <w:tr>
        <w:trPr>
          <w:cantSplit/>
        </w:trPr>
        <w:tc>
          <w:tcPr>
            <w:tcW w:type="dxa" w:w="5600"/>
            <w:vAlign w:val="top"/>
            <w:tcBorders>
              <w:top w:val="single" w:sz="8" w:color="C7CCD3"/>
              <w:left w:val="single" w:sz="8" w:color="C7CCD3"/>
              <w:bottom w:val="single" w:sz="8" w:color="C7CCD3"/>
              <w:right w:val="single" w:sz="8" w:color="C7CCD3"/>
            </w:tcBorders>
            <w:tcMar>
              <w:top w:w="175" w:type="dxa"/>
              <w:bottom w:w="165" w:type="dxa"/>
              <w:start w:w="180" w:type="dxa"/>
              <w:end w:w="180" w:type="dxa"/>
            </w:tcMar>
            <w:shd w:fill="FFFFFF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i w:val="0"/>
                <w:color w:val="0A1F44"/>
                <w:sz w:val="23"/>
              </w:rPr>
              <w:t>Performance &amp; Packaging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667085"/>
                <w:sz w:val="15"/>
              </w:rPr>
              <w:t xml:space="preserve">Viscosity  </w:t>
            </w:r>
            <w:r>
              <w:rPr>
                <w:rFonts w:ascii="Arial" w:hAnsi="Arial"/>
                <w:b w:val="0"/>
                <w:i w:val="0"/>
                <w:color w:val="24344A"/>
                <w:sz w:val="15"/>
              </w:rPr>
              <w:t>The supplier reports good dispersion. Formulation-specific viscosity must be verified.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67085"/>
                <w:sz w:val="15"/>
              </w:rPr>
              <w:t xml:space="preserve">Packaging  </w:t>
            </w:r>
            <w:r>
              <w:rPr>
                <w:rFonts w:ascii="Arial" w:hAnsi="Arial"/>
                <w:b w:val="0"/>
                <w:i w:val="0"/>
                <w:color w:val="24344A"/>
                <w:sz w:val="15"/>
              </w:rPr>
              <w:t>Packaging is not stated in the supplier TDS. The supplied packaging artwork is a concept mockup only and is not approved evidence of pack size, label text, or legal attribution.</w:t>
            </w:r>
          </w:p>
        </w:tc>
        <w:tc>
          <w:tcPr>
            <w:tcW w:type="dxa" w:w="2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4850"/>
            <w:vAlign w:val="top"/>
            <w:tcBorders>
              <w:top w:val="single" w:sz="8" w:color="C7CCD3"/>
              <w:left w:val="single" w:sz="8" w:color="C7CCD3"/>
              <w:bottom w:val="single" w:sz="8" w:color="C7CCD3"/>
              <w:right w:val="single" w:sz="8" w:color="C7CCD3"/>
            </w:tcBorders>
            <w:tcMar>
              <w:top w:w="175" w:type="dxa"/>
              <w:bottom w:w="165" w:type="dxa"/>
              <w:start w:w="180" w:type="dxa"/>
              <w:end w:w="180" w:type="dxa"/>
            </w:tcMar>
            <w:shd w:fill="FFFFFF"/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i w:val="0"/>
                <w:color w:val="0A1F44"/>
                <w:sz w:val="23"/>
              </w:rPr>
              <w:t>Safety / SDS Status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24344A"/>
                <w:sz w:val="16"/>
              </w:rPr>
              <w:t>An aligned SDS was not provided for this draft. Confirm the supplied-product identifier, issuing entity, emergency contact, and revision before external use.</w:t>
            </w:r>
          </w:p>
        </w:tc>
      </w:tr>
    </w:tbl>
    <w:p>
      <w:pPr>
        <w:spacing w:before="100" w:after="40" w:line="240" w:lineRule="auto"/>
      </w:pPr>
      <w:r>
        <w:rPr>
          <w:rFonts w:ascii="Arial" w:hAnsi="Arial"/>
          <w:b w:val="0"/>
          <w:i w:val="0"/>
          <w:color w:val="667085"/>
          <w:sz w:val="14"/>
        </w:rPr>
        <w:t>Supplier-reported values reproduce the primary supplier TDS. The source does not state test methods, tolerances, or whether values are typical or specification limits. The supplier table presents three specific-surface-area entries without variant labels; values are reproduced without assigning them to subgrades/variants. Product suitability must be evaluated in the intended formulation. Legal/contact details, SDS/COA issuer and packaging remain pending and are not for public use.</w:t>
      </w:r>
    </w:p>
    <w:tbl>
      <w:tblPr>
        <w:tblW w:type="dxa" w:w="107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700"/>
      </w:tblGrid>
      <w:tr>
        <w:trPr>
          <w:cantSplit/>
        </w:trPr>
        <w:tc>
          <w:tcPr>
            <w:tcW w:type="dxa" w:w="10700"/>
            <w:vAlign w:val="top"/>
            <w:tcBorders>
              <w:top w:val="single" w:sz="8" w:color="C7CCD3"/>
              <w:left w:val="single" w:sz="8" w:color="C7CCD3"/>
              <w:bottom w:val="single" w:sz="8" w:color="C7CCD3"/>
              <w:right w:val="single" w:sz="8" w:color="C7CCD3"/>
            </w:tcBorders>
            <w:tcMar>
              <w:top w:w="145" w:type="dxa"/>
              <w:bottom w:w="135" w:type="dxa"/>
              <w:start w:w="180" w:type="dxa"/>
              <w:end w:w="180" w:type="dxa"/>
            </w:tcMar>
            <w:shd w:fill="F1F4F8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0A1F44"/>
                <w:sz w:val="19"/>
              </w:rPr>
              <w:t>Release Status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344A"/>
                <w:sz w:val="15"/>
              </w:rPr>
              <w:t>Pending user confirmation before public use: brand owner; manufacturer / manufactured-for / distributor; SDS and COA issuer; packaging label entity; company contact details; trademark status.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/>
          <w:b/>
          <w:i w:val="0"/>
          <w:color w:val="0A1F44"/>
          <w:sz w:val="14"/>
        </w:rPr>
        <w:t>DRAFT - NOT APPROVED FOR PUBLIC USE</w:t>
      </w:r>
    </w:p>
    <w:sectPr>
      <w:headerReference w:type="default" r:id="rId9"/>
      <w:footerReference w:type="default" r:id="rId10"/>
      <w:pgSz w:w="11909" w:h="16358"/>
      <w:pgMar w:top="1267" w:right="547" w:bottom="1512" w:left="547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 w:line="240" w:lineRule="auto"/>
      <w:pBdr>
        <w:bottom w:val="single" w:sz="8" w:space="5" w:color="C7CCD3"/>
      </w:pBdr>
    </w:pPr>
  </w:p>
  <w:tbl>
    <w:tblPr>
      <w:tblW w:type="dxa" w:w="107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3100"/>
    </w:tblGrid>
    <w:tr>
      <w:trPr>
        <w:cantSplit/>
      </w:trPr>
      <w:tc>
        <w:tcPr>
          <w:tcW w:type="dxa" w:w="7600"/>
          <w:vAlign w:val="top"/>
          <w:tcMar>
            <w:top w:w="30" w:type="dxa"/>
            <w:bottom w:w="20" w:type="dxa"/>
            <w:start w:w="0" w:type="dxa"/>
            <w:end w:w="10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/>
              <w:i w:val="0"/>
              <w:color w:val="0A1F44"/>
              <w:sz w:val="19"/>
            </w:rPr>
            <w:t>CONTACT</w:t>
          </w:r>
        </w:p>
        <w:p>
          <w:pPr>
            <w:spacing w:before="0" w:after="0" w:line="240" w:lineRule="auto"/>
          </w:pPr>
          <w:r>
            <w:rPr>
              <w:rFonts w:ascii="Arial" w:hAnsi="Arial"/>
              <w:b/>
              <w:i w:val="0"/>
              <w:color w:val="176FD1"/>
              <w:sz w:val="17"/>
            </w:rPr>
            <w:t>Company and contact details pending user approval</w:t>
          </w:r>
        </w:p>
        <w:p>
          <w:pPr>
            <w:spacing w:before="0" w:after="0" w:line="240" w:lineRule="auto"/>
          </w:pPr>
          <w:r>
            <w:rPr>
              <w:rFonts w:ascii="Arial" w:hAnsi="Arial"/>
              <w:b w:val="0"/>
              <w:i w:val="0"/>
              <w:color w:val="667085"/>
              <w:sz w:val="14"/>
            </w:rPr>
            <w:t>Legal name / address / email / website: pending user approval</w:t>
          </w:r>
        </w:p>
      </w:tc>
      <w:tc>
        <w:tcPr>
          <w:tcW w:type="dxa" w:w="3100"/>
          <w:vAlign w:val="top"/>
          <w:tcMar>
            <w:top w:w="30" w:type="dxa"/>
            <w:bottom w:w="20" w:type="dxa"/>
            <w:start w:w="100" w:type="dxa"/>
            <w:end w:w="0" w:type="dxa"/>
          </w:tcMar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788670"/>
                <wp:docPr id="1" name="Picture 1" title="TIOVAR" descr="TIOVA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hatGPT Image 2026年8月26日 12_07_24.png"/>
                        <pic:cNvPicPr/>
                      </pic:nvPicPr>
                      <pic:blipFill>
                        <a:blip r:embed="rId1"/>
                        <a:srcRect l="2500" r="2500" t="29000" b="17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8867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40" w:lineRule="auto"/>
      <w:jc w:val="right"/>
    </w:pPr>
    <w:r>
      <w:rPr>
        <w:rFonts w:ascii="Arial" w:hAnsi="Arial"/>
        <w:b w:val="0"/>
        <w:i w:val="0"/>
        <w:color w:val="667085"/>
        <w:sz w:val="13"/>
      </w:rPr>
      <w:t>TDS | TP-H100 Rutile Titanium Dioxide | Draft | Rev. 0.1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7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00"/>
      <w:gridCol w:w="7100"/>
    </w:tblGrid>
    <w:tr>
      <w:trPr>
        <w:cantSplit/>
      </w:trPr>
      <w:tc>
        <w:tcPr>
          <w:tcW w:type="dxa" w:w="3600"/>
          <w:vAlign w:val="top"/>
          <w:shd w:fill="F1F4F8"/>
          <w:tcMar>
            <w:top w:w="60" w:type="dxa"/>
            <w:bottom w:w="60" w:type="dxa"/>
            <w:start w:w="80" w:type="dxa"/>
            <w:end w:w="80" w:type="dxa"/>
          </w:tcMar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325880" cy="994410"/>
                <wp:docPr id="1" name="Picture 1" title="TIOVAR" descr="TIOVA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hatGPT Image 2026年8月26日 12_07_24.png"/>
                        <pic:cNvPicPr/>
                      </pic:nvPicPr>
                      <pic:blipFill>
                        <a:blip r:embed="rId1"/>
                        <a:srcRect l="2500" r="2500" t="29000" b="17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99441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00"/>
          <w:vAlign w:val="center"/>
          <w:shd w:fill="F1F4F8"/>
          <w:tcMar>
            <w:top w:w="70" w:type="dxa"/>
            <w:bottom w:w="60" w:type="dxa"/>
            <w:start w:w="80" w:type="dxa"/>
            <w:end w:w="8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/>
              <w:i w:val="0"/>
              <w:color w:val="176FD1"/>
              <w:sz w:val="44"/>
            </w:rPr>
            <w:t>TP-H100</w:t>
          </w:r>
        </w:p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667085"/>
              <w:sz w:val="21"/>
            </w:rPr>
            <w:t>Rutile Titanium Dioxide</w:t>
          </w:r>
        </w:p>
      </w:tc>
    </w:tr>
  </w:tbl>
  <w:p>
    <w:pPr>
      <w:spacing w:before="0" w:after="0" w:line="240" w:lineRule="auto"/>
      <w:pBdr>
        <w:bottom w:val="single" w:sz="8" w:space="5" w:color="C7CCD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color w:val="24344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TIOVAR TP-H100 Technical Data Sheet</dc:title>
  <dc:subject>TIOVAR TP-H100 Draft Technical Data Sheet</dc:subject>
  <dc:creator/>
  <cp:keywords>TIOVAR, TP-H100, technical data sheet, draft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