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TP-P320</w:t>
      </w:r>
    </w:p>
    <w:p>
      <w:pPr>
        <w:spacing w:before="0" w:after="160" w:line="240" w:lineRule="auto"/>
        <w:pBdr>
          <w:bottom w:val="single" w:sz="24" w:space="5" w:color="176FD1"/>
        </w:pBdr>
      </w:pPr>
      <w:r>
        <w:rPr>
          <w:rFonts w:ascii="Arial" w:hAnsi="Arial"/>
          <w:b/>
          <w:i w:val="0"/>
          <w:color w:val="667085"/>
          <w:sz w:val="23"/>
        </w:rPr>
        <w:t>RUTILE TITANIUM DIOXIDE | ENGINEERING PLASTICS</w:t>
      </w:r>
    </w:p>
    <w:p>
      <w:pPr>
        <w:spacing w:before="0" w:after="140" w:line="259" w:lineRule="auto"/>
      </w:pPr>
      <w:r>
        <w:rPr>
          <w:rFonts w:ascii="Arial" w:hAnsi="Arial"/>
          <w:b w:val="0"/>
          <w:i w:val="0"/>
          <w:color w:val="24344A"/>
          <w:sz w:val="17"/>
        </w:rPr>
        <w:t>TIOVAR TP-P320 is a chloride-process rutile titanium dioxide pigment described by the supplier as having special surface treatment. It is intended for formulation evaluation in high-reflective polycarbonate systems and engineering-plastics applications with high-reflection requirements.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high-reflective polycarbonate</w:t>
            </w:r>
          </w:p>
          <w:p>
            <w:pPr>
              <w:pStyle w:val="ListBullet"/>
              <w:spacing w:before="0" w:after="30" w:line="240" w:lineRule="auto"/>
              <w:ind w:left="259" w:hanging="144"/>
            </w:pPr>
            <w:r>
              <w:rPr>
                <w:rFonts w:ascii="Arial" w:hAnsi="Arial"/>
                <w:b w:val="0"/>
                <w:i w:val="0"/>
                <w:color w:val="24344A"/>
                <w:sz w:val="16"/>
              </w:rPr>
              <w:t>Formulation evaluation in high-reflective polycarbonate masterbatch</w:t>
            </w:r>
          </w:p>
          <w:p>
            <w:pPr>
              <w:pStyle w:val="ListBullet"/>
              <w:spacing w:before="0" w:after="30" w:line="240" w:lineRule="auto"/>
              <w:ind w:left="259" w:hanging="144"/>
            </w:pPr>
            <w:r>
              <w:rPr>
                <w:rFonts w:ascii="Arial" w:hAnsi="Arial"/>
                <w:b w:val="0"/>
                <w:i w:val="0"/>
                <w:color w:val="24344A"/>
                <w:sz w:val="16"/>
              </w:rPr>
              <w:t>Formulation evaluation in engineering plastics with high-reflection requirements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High reflectance</w:t>
            </w:r>
          </w:p>
          <w:p>
            <w:pPr>
              <w:pStyle w:val="ListBullet"/>
              <w:spacing w:before="0" w:after="30" w:line="240" w:lineRule="auto"/>
              <w:ind w:left="259" w:hanging="144"/>
            </w:pPr>
            <w:r>
              <w:rPr>
                <w:rFonts w:ascii="Arial" w:hAnsi="Arial"/>
                <w:b w:val="0"/>
                <w:i w:val="0"/>
                <w:color w:val="24344A"/>
                <w:sz w:val="16"/>
              </w:rPr>
              <w:t>Good dispersibility</w:t>
            </w:r>
          </w:p>
          <w:p>
            <w:pPr>
              <w:pStyle w:val="ListBullet"/>
              <w:spacing w:before="0" w:after="30" w:line="240" w:lineRule="auto"/>
              <w:ind w:left="259" w:hanging="144"/>
            </w:pPr>
            <w:r>
              <w:rPr>
                <w:rFonts w:ascii="Arial" w:hAnsi="Arial"/>
                <w:b w:val="0"/>
                <w:i w:val="0"/>
                <w:color w:val="24344A"/>
                <w:sz w:val="16"/>
              </w:rPr>
              <w:t>Bluish undertone</w:t>
            </w:r>
          </w:p>
          <w:p>
            <w:pPr>
              <w:pStyle w:val="ListBullet"/>
              <w:spacing w:before="0" w:after="30" w:line="240" w:lineRule="auto"/>
              <w:ind w:left="259" w:hanging="144"/>
            </w:pPr>
            <w:r>
              <w:rPr>
                <w:rFonts w:ascii="Arial" w:hAnsi="Arial"/>
                <w:b w:val="0"/>
                <w:i w:val="0"/>
                <w:color w:val="24344A"/>
                <w:sz w:val="16"/>
              </w:rPr>
              <w:t>Excellent processing property</w:t>
            </w:r>
          </w:p>
          <w:p>
            <w:pPr>
              <w:pStyle w:val="ListBullet"/>
              <w:spacing w:before="0" w:after="30" w:line="240" w:lineRule="auto"/>
              <w:ind w:left="259" w:hanging="144"/>
            </w:pPr>
            <w:r>
              <w:rPr>
                <w:rFonts w:ascii="Arial" w:hAnsi="Arial"/>
                <w:b w:val="0"/>
                <w:i w:val="0"/>
                <w:color w:val="24344A"/>
                <w:sz w:val="16"/>
              </w:rPr>
              <w:t>Outstanding anti-degradation ability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(during packing),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13.5</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high-reflection engineering-plastics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TP-P320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TP-P320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TP-P320 Technical Data Sheet</dc:title>
  <dc:subject>TIOVAR TP-P320 draft technical data sheet</dc:subject>
  <dc:creator/>
  <cp:keywords>TIOVAR, TP-P320,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