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TP-I100</w:t>
      </w:r>
    </w:p>
    <w:p>
      <w:pPr>
        <w:spacing w:before="0" w:after="160" w:line="240" w:lineRule="auto"/>
        <w:pBdr>
          <w:bottom w:val="single" w:sz="24" w:space="5" w:color="176FD1"/>
        </w:pBdr>
      </w:pPr>
      <w:r>
        <w:rPr>
          <w:rFonts w:ascii="Arial" w:hAnsi="Arial"/>
          <w:b/>
          <w:i w:val="0"/>
          <w:color w:val="667085"/>
          <w:sz w:val="23"/>
        </w:rPr>
        <w:t>RUTILE TITANIUM DIOXIDE | PRINTING INKS AND HIGH-HIDING APPLICATIONS</w:t>
      </w:r>
    </w:p>
    <w:p>
      <w:pPr>
        <w:spacing w:before="0" w:after="140" w:line="259" w:lineRule="auto"/>
      </w:pPr>
      <w:r>
        <w:rPr>
          <w:rFonts w:ascii="Arial" w:hAnsi="Arial"/>
          <w:b w:val="0"/>
          <w:i w:val="0"/>
          <w:color w:val="24344A"/>
          <w:sz w:val="17"/>
        </w:rPr>
        <w:t>TIOVAR TP-I100 is a chloride-process rutile titanium dioxide pigment. The supplier describes this grade as a special titanium dioxide for solvent-based and water-based inks. It is intended for formulation evaluation where neutral tint, whiteness, hiding power, dispersibility and low oil absorption are required.</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inkjet inks</w:t>
            </w:r>
          </w:p>
          <w:p>
            <w:pPr>
              <w:pStyle w:val="ListBullet"/>
              <w:spacing w:before="0" w:after="30" w:line="240" w:lineRule="auto"/>
              <w:ind w:left="259" w:hanging="144"/>
            </w:pPr>
            <w:r>
              <w:rPr>
                <w:rFonts w:ascii="Arial" w:hAnsi="Arial"/>
                <w:b w:val="0"/>
                <w:i w:val="0"/>
                <w:color w:val="24344A"/>
                <w:sz w:val="16"/>
              </w:rPr>
              <w:t>Formulation evaluation in water-based inks</w:t>
            </w:r>
          </w:p>
          <w:p>
            <w:pPr>
              <w:pStyle w:val="ListBullet"/>
              <w:spacing w:before="0" w:after="30" w:line="240" w:lineRule="auto"/>
              <w:ind w:left="259" w:hanging="144"/>
            </w:pPr>
            <w:r>
              <w:rPr>
                <w:rFonts w:ascii="Arial" w:hAnsi="Arial"/>
                <w:b w:val="0"/>
                <w:i w:val="0"/>
                <w:color w:val="24344A"/>
                <w:sz w:val="16"/>
              </w:rPr>
              <w:t>Formulation evaluation in correction fluids</w:t>
            </w:r>
          </w:p>
          <w:p>
            <w:pPr>
              <w:pStyle w:val="ListBullet"/>
              <w:spacing w:before="0" w:after="30" w:line="240" w:lineRule="auto"/>
              <w:ind w:left="259" w:hanging="144"/>
            </w:pPr>
            <w:r>
              <w:rPr>
                <w:rFonts w:ascii="Arial" w:hAnsi="Arial"/>
                <w:b w:val="0"/>
                <w:i w:val="0"/>
                <w:color w:val="24344A"/>
                <w:sz w:val="16"/>
              </w:rPr>
              <w:t>Formulation evaluation in color pastes</w:t>
            </w:r>
          </w:p>
          <w:p>
            <w:pPr>
              <w:pStyle w:val="ListBullet"/>
              <w:spacing w:before="0" w:after="30" w:line="240" w:lineRule="auto"/>
              <w:ind w:left="259" w:hanging="144"/>
            </w:pPr>
            <w:r>
              <w:rPr>
                <w:rFonts w:ascii="Arial" w:hAnsi="Arial"/>
                <w:b w:val="0"/>
                <w:i w:val="0"/>
                <w:color w:val="24344A"/>
                <w:sz w:val="16"/>
              </w:rPr>
              <w:t>Formulation evaluation in coatings with high hiding power requirements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Neutral tint</w:t>
            </w:r>
          </w:p>
          <w:p>
            <w:pPr>
              <w:pStyle w:val="ListBullet"/>
              <w:spacing w:before="0" w:after="30" w:line="240" w:lineRule="auto"/>
              <w:ind w:left="259" w:hanging="144"/>
            </w:pPr>
            <w:r>
              <w:rPr>
                <w:rFonts w:ascii="Arial" w:hAnsi="Arial"/>
                <w:b w:val="0"/>
                <w:i w:val="0"/>
                <w:color w:val="24344A"/>
                <w:sz w:val="16"/>
              </w:rPr>
              <w:t>High whiteness and high hiding power</w:t>
            </w:r>
          </w:p>
          <w:p>
            <w:pPr>
              <w:pStyle w:val="ListBullet"/>
              <w:spacing w:before="0" w:after="30" w:line="240" w:lineRule="auto"/>
              <w:ind w:left="259" w:hanging="144"/>
            </w:pPr>
            <w:r>
              <w:rPr>
                <w:rFonts w:ascii="Arial" w:hAnsi="Arial"/>
                <w:b w:val="0"/>
                <w:i w:val="0"/>
                <w:color w:val="24344A"/>
                <w:sz w:val="16"/>
              </w:rPr>
              <w:t>Outstanding dispersibility</w:t>
            </w:r>
          </w:p>
          <w:p>
            <w:pPr>
              <w:pStyle w:val="ListBullet"/>
              <w:spacing w:before="0" w:after="30" w:line="240" w:lineRule="auto"/>
              <w:ind w:left="259" w:hanging="144"/>
            </w:pPr>
            <w:r>
              <w:rPr>
                <w:rFonts w:ascii="Arial" w:hAnsi="Arial"/>
                <w:b w:val="0"/>
                <w:i w:val="0"/>
                <w:color w:val="24344A"/>
                <w:sz w:val="16"/>
              </w:rPr>
              <w:t>Low oil absorption</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12.5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0.35</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reports outstanding dispersibility and low oil absorption. Formulation-specific viscosity must be verified.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TP-I100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TP-I100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TP-I100 Technical Data Sheet</dc:title>
  <dc:subject>TIOVAR TP-I100 draft technical data sheet</dc:subject>
  <dc:creator/>
  <cp:keywords>TIOVAR, TP-I100, rutile titanium dioxide, technical data sheet, draft</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