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rFonts w:ascii="Arial" w:hAnsi="Arial"/>
          <w:b/>
          <w:i w:val="0"/>
          <w:color w:val="176FD1"/>
          <w:sz w:val="62"/>
        </w:rPr>
        <w:t>TP-U100</w:t>
      </w:r>
    </w:p>
    <w:p>
      <w:pPr>
        <w:spacing w:before="0" w:after="160" w:line="240" w:lineRule="auto"/>
        <w:pBdr>
          <w:bottom w:val="single" w:sz="24" w:space="5" w:color="176FD1"/>
        </w:pBdr>
      </w:pPr>
      <w:r>
        <w:rPr>
          <w:rFonts w:ascii="Arial" w:hAnsi="Arial"/>
          <w:b/>
          <w:i w:val="0"/>
          <w:color w:val="667085"/>
          <w:sz w:val="23"/>
        </w:rPr>
        <w:t>RUTILE TITANIUM DIOXIDE | MULTIPURPOSE COATINGS, INKS AND PLASTICS</w:t>
      </w:r>
    </w:p>
    <w:p>
      <w:pPr>
        <w:spacing w:before="0" w:after="140" w:line="259" w:lineRule="auto"/>
      </w:pPr>
      <w:r>
        <w:rPr>
          <w:rFonts w:ascii="Arial" w:hAnsi="Arial"/>
          <w:b w:val="0"/>
          <w:i w:val="0"/>
          <w:color w:val="24344A"/>
          <w:sz w:val="17"/>
        </w:rPr>
        <w:t>TIOVAR TP-U100 is a chloride-process rutile titanium dioxide pigment described by the supplier as specially surface-treated and multifunctional. It has an excellent particle size distribution and is intended for formulation evaluation in coatings, printing inks and plastics.</w:t>
      </w: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3900"/>
        <w:gridCol w:w="250"/>
        <w:gridCol w:w="6550"/>
      </w:tblGrid>
      <w:tr>
        <w:trPr>
          <w:cantSplit/>
        </w:trPr>
        <w:tc>
          <w:tcPr>
            <w:tcW w:type="dxa" w:w="3900"/>
            <w:vAlign w:val="top"/>
            <w:tcMar>
              <w:top w:w="160" w:type="dxa"/>
              <w:bottom w:w="150" w:type="dxa"/>
              <w:start w:w="220" w:type="dxa"/>
              <w:end w:w="220" w:type="dxa"/>
            </w:tcMar>
            <w:tcBorders>
              <w:top w:val="single" w:sz="8" w:color="C7CCD3"/>
              <w:left w:val="single" w:sz="8" w:color="C7CCD3"/>
              <w:bottom w:val="single" w:sz="8" w:color="C7CCD3"/>
              <w:right w:val="single" w:sz="8" w:color="C7CCD3"/>
            </w:tcBorders>
            <w:shd w:fill="FFFFFF"/>
          </w:tcPr>
          <w:p>
            <w:pPr>
              <w:spacing w:before="0" w:after="80" w:line="240" w:lineRule="auto"/>
            </w:pPr>
            <w:r>
              <w:rPr>
                <w:rFonts w:ascii="Arial" w:hAnsi="Arial"/>
                <w:b/>
                <w:i w:val="0"/>
                <w:color w:val="0A1F44"/>
                <w:sz w:val="27"/>
              </w:rPr>
              <w:t>Applications</w:t>
            </w:r>
          </w:p>
          <w:p>
            <w:pPr>
              <w:pStyle w:val="ListBullet"/>
              <w:spacing w:before="0" w:after="30" w:line="240" w:lineRule="auto"/>
              <w:ind w:left="259" w:hanging="144"/>
            </w:pPr>
            <w:r>
              <w:rPr>
                <w:rFonts w:ascii="Arial" w:hAnsi="Arial"/>
                <w:b w:val="0"/>
                <w:i w:val="0"/>
                <w:color w:val="24344A"/>
                <w:sz w:val="16"/>
              </w:rPr>
              <w:t>Formulation evaluation in interior and exterior architectural coatings</w:t>
            </w:r>
          </w:p>
          <w:p>
            <w:pPr>
              <w:pStyle w:val="ListBullet"/>
              <w:spacing w:before="0" w:after="30" w:line="240" w:lineRule="auto"/>
              <w:ind w:left="259" w:hanging="144"/>
            </w:pPr>
            <w:r>
              <w:rPr>
                <w:rFonts w:ascii="Arial" w:hAnsi="Arial"/>
                <w:b w:val="0"/>
                <w:i w:val="0"/>
                <w:color w:val="24344A"/>
                <w:sz w:val="16"/>
              </w:rPr>
              <w:t>Formulation evaluation in automotive OEM and refinishing, coil, anticorrosion, decorative and powder coatings</w:t>
            </w:r>
          </w:p>
          <w:p>
            <w:pPr>
              <w:pStyle w:val="ListBullet"/>
              <w:spacing w:before="0" w:after="30" w:line="240" w:lineRule="auto"/>
              <w:ind w:left="259" w:hanging="144"/>
            </w:pPr>
            <w:r>
              <w:rPr>
                <w:rFonts w:ascii="Arial" w:hAnsi="Arial"/>
                <w:b w:val="0"/>
                <w:i w:val="0"/>
                <w:color w:val="24344A"/>
                <w:sz w:val="16"/>
              </w:rPr>
              <w:t>Formulation evaluation in letterpress, offset and intaglio printing inks</w:t>
            </w:r>
          </w:p>
          <w:p>
            <w:pPr>
              <w:pStyle w:val="ListBullet"/>
              <w:spacing w:before="0" w:after="30" w:line="240" w:lineRule="auto"/>
              <w:ind w:left="259" w:hanging="144"/>
            </w:pPr>
            <w:r>
              <w:rPr>
                <w:rFonts w:ascii="Arial" w:hAnsi="Arial"/>
                <w:b w:val="0"/>
                <w:i w:val="0"/>
                <w:color w:val="24344A"/>
                <w:sz w:val="16"/>
              </w:rPr>
              <w:t>Formulation evaluation in engineering plastics, masterbatch and profiles</w:t>
            </w:r>
          </w:p>
          <w:p>
            <w:pPr>
              <w:spacing w:before="60" w:after="100" w:line="240" w:lineRule="auto"/>
              <w:pBdr>
                <w:bottom w:val="single" w:sz="6" w:space="5" w:color="C7CCD3"/>
              </w:pBdr>
            </w:pPr>
            <w:r/>
          </w:p>
          <w:p>
            <w:pPr>
              <w:spacing w:before="0" w:after="80" w:line="240" w:lineRule="auto"/>
            </w:pPr>
            <w:r>
              <w:rPr>
                <w:rFonts w:ascii="Arial" w:hAnsi="Arial"/>
                <w:b/>
                <w:i w:val="0"/>
                <w:color w:val="0A1F44"/>
                <w:sz w:val="22"/>
              </w:rPr>
              <w:t>Supplier-reported Key Features</w:t>
            </w:r>
          </w:p>
          <w:p>
            <w:pPr>
              <w:pStyle w:val="ListBullet"/>
              <w:spacing w:before="0" w:after="30" w:line="240" w:lineRule="auto"/>
              <w:ind w:left="259" w:hanging="144"/>
            </w:pPr>
            <w:r>
              <w:rPr>
                <w:rFonts w:ascii="Arial" w:hAnsi="Arial"/>
                <w:b w:val="0"/>
                <w:i w:val="0"/>
                <w:color w:val="24344A"/>
                <w:sz w:val="16"/>
              </w:rPr>
              <w:t>Bluish tone</w:t>
            </w:r>
          </w:p>
          <w:p>
            <w:pPr>
              <w:pStyle w:val="ListBullet"/>
              <w:spacing w:before="0" w:after="30" w:line="240" w:lineRule="auto"/>
              <w:ind w:left="259" w:hanging="144"/>
            </w:pPr>
            <w:r>
              <w:rPr>
                <w:rFonts w:ascii="Arial" w:hAnsi="Arial"/>
                <w:b w:val="0"/>
                <w:i w:val="0"/>
                <w:color w:val="24344A"/>
                <w:sz w:val="16"/>
              </w:rPr>
              <w:t>High gloss</w:t>
            </w:r>
          </w:p>
          <w:p>
            <w:pPr>
              <w:pStyle w:val="ListBullet"/>
              <w:spacing w:before="0" w:after="30" w:line="240" w:lineRule="auto"/>
              <w:ind w:left="259" w:hanging="144"/>
            </w:pPr>
            <w:r>
              <w:rPr>
                <w:rFonts w:ascii="Arial" w:hAnsi="Arial"/>
                <w:b w:val="0"/>
                <w:i w:val="0"/>
                <w:color w:val="24344A"/>
                <w:sz w:val="16"/>
              </w:rPr>
              <w:t>High durability</w:t>
            </w:r>
          </w:p>
          <w:p>
            <w:pPr>
              <w:pStyle w:val="ListBullet"/>
              <w:spacing w:before="0" w:after="30" w:line="240" w:lineRule="auto"/>
              <w:ind w:left="259" w:hanging="144"/>
            </w:pPr>
            <w:r>
              <w:rPr>
                <w:rFonts w:ascii="Arial" w:hAnsi="Arial"/>
                <w:b w:val="0"/>
                <w:i w:val="0"/>
                <w:color w:val="24344A"/>
                <w:sz w:val="16"/>
              </w:rPr>
              <w:t>Multifunction</w:t>
            </w:r>
          </w:p>
        </w:tc>
        <w:tc>
          <w:tcPr>
            <w:tcW w:type="dxa" w:w="250"/>
            <w:vAlign w:val="top"/>
            <w:tcMar>
              <w:top w:w="0" w:type="dxa"/>
              <w:bottom w:w="0" w:type="dxa"/>
              <w:start w:w="0" w:type="dxa"/>
              <w:end w:w="0" w:type="dxa"/>
            </w:tcMar>
          </w:tcPr>
          <w:p/>
        </w:tc>
        <w:tc>
          <w:tcPr>
            <w:tcW w:type="dxa" w:w="6550"/>
            <w:vAlign w:val="top"/>
            <w:tcMar>
              <w:top w:w="0" w:type="dxa"/>
              <w:bottom w:w="0" w:type="dxa"/>
              <w:start w:w="0" w:type="dxa"/>
              <w:end w:w="0" w:type="dxa"/>
            </w:tcMar>
          </w:tcPr>
          <w:p>
            <w:pPr>
              <w:spacing w:before="0" w:after="80" w:line="240" w:lineRule="auto"/>
            </w:pPr>
            <w:r>
              <w:rPr>
                <w:rFonts w:ascii="Arial" w:hAnsi="Arial"/>
                <w:b/>
                <w:i w:val="0"/>
                <w:color w:val="0A1F44"/>
                <w:sz w:val="27"/>
              </w:rPr>
              <w:t>Reported Technical Data</w:t>
            </w:r>
          </w:p>
          <w:tbl>
            <w:tblPr>
              <w:tblW w:type="dxa" w:w="6550"/>
              <w:jc w:val="left"/>
              <w:tblLayout w:type="fixed"/>
              <w:tblLook w:firstColumn="1" w:firstRow="1" w:lastColumn="0" w:lastRow="0" w:noHBand="0" w:noVBand="1" w:val="04A0"/>
              <w:tblInd w:w="0" w:type="dxa"/>
            </w:tblPr>
            <w:tblGrid>
              <w:gridCol w:w="4250"/>
              <w:gridCol w:w="2300"/>
            </w:tblGrid>
            <w:tr>
              <w:trPr>
                <w:cantSplit/>
                <w:tblHeader w:val="true"/>
              </w:trPr>
              <w:tc>
                <w:tcPr>
                  <w:tcW w:type="dxa" w:w="4250"/>
                  <w:vAlign w:val="center"/>
                  <w:shd w:fill="176FD1"/>
                  <w:tcMar>
                    <w:top w:w="70" w:type="dxa"/>
                    <w:bottom w:w="70" w:type="dxa"/>
                    <w:start w:w="100" w:type="dxa"/>
                    <w:end w:w="100" w:type="dxa"/>
                  </w:tcMar>
                </w:tcPr>
                <w:p>
                  <w:pPr>
                    <w:spacing w:before="0" w:after="0" w:line="240" w:lineRule="auto"/>
                  </w:pPr>
                  <w:r>
                    <w:rPr>
                      <w:rFonts w:ascii="Arial" w:hAnsi="Arial"/>
                      <w:b/>
                      <w:i w:val="0"/>
                      <w:color w:val="FFFFFF"/>
                      <w:sz w:val="16"/>
                    </w:rPr>
                    <w:t>Property</w:t>
                  </w:r>
                </w:p>
              </w:tc>
              <w:tc>
                <w:tcPr>
                  <w:tcW w:type="dxa" w:w="2300"/>
                  <w:vAlign w:val="center"/>
                  <w:shd w:fill="176FD1"/>
                  <w:tcMar>
                    <w:top w:w="70" w:type="dxa"/>
                    <w:bottom w:w="70" w:type="dxa"/>
                    <w:start w:w="100" w:type="dxa"/>
                    <w:end w:w="100" w:type="dxa"/>
                  </w:tcMar>
                </w:tcPr>
                <w:p>
                  <w:pPr>
                    <w:spacing w:before="0" w:after="0" w:line="240" w:lineRule="auto"/>
                  </w:pPr>
                  <w:r>
                    <w:rPr>
                      <w:rFonts w:ascii="Arial" w:hAnsi="Arial"/>
                      <w:b/>
                      <w:i w:val="0"/>
                      <w:color w:val="FFFFFF"/>
                      <w:sz w:val="16"/>
                    </w:rPr>
                    <w:t>Reported Value</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TiO2 content, %</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95</w:t>
                  </w:r>
                </w:p>
              </w:tc>
            </w:tr>
            <w:tr>
              <w:tc>
                <w:tcPr>
                  <w:tcW w:type="dxa" w:w="425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Rutile content, %</w:t>
                  </w:r>
                </w:p>
              </w:tc>
              <w:tc>
                <w:tcPr>
                  <w:tcW w:type="dxa" w:w="230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99.9</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L*</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98.4</w:t>
                  </w:r>
                </w:p>
              </w:tc>
            </w:tr>
            <w:tr>
              <w:tc>
                <w:tcPr>
                  <w:tcW w:type="dxa" w:w="425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b*</w:t>
                  </w:r>
                </w:p>
              </w:tc>
              <w:tc>
                <w:tcPr>
                  <w:tcW w:type="dxa" w:w="230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1.75</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Specific gravity, g/cm3</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4.1</w:t>
                  </w:r>
                </w:p>
              </w:tc>
            </w:tr>
            <w:tr>
              <w:tc>
                <w:tcPr>
                  <w:tcW w:type="dxa" w:w="425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pH</w:t>
                  </w:r>
                </w:p>
              </w:tc>
              <w:tc>
                <w:tcPr>
                  <w:tcW w:type="dxa" w:w="230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7.5</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Carbon black undertone (CBU)</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14.0</w:t>
                  </w:r>
                </w:p>
              </w:tc>
            </w:tr>
            <w:tr>
              <w:tc>
                <w:tcPr>
                  <w:tcW w:type="dxa" w:w="425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Oil absorption, g/100 g</w:t>
                  </w:r>
                </w:p>
              </w:tc>
              <w:tc>
                <w:tcPr>
                  <w:tcW w:type="dxa" w:w="230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17</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Mean particle size, micrometres</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0.27</w:t>
                  </w:r>
                </w:p>
              </w:tc>
            </w:tr>
          </w:tbl>
          <w:p/>
        </w:tc>
      </w:tr>
    </w:tbl>
    <w:p>
      <w:pPr>
        <w:spacing w:before="0" w:after="60" w:line="240" w:lineRule="auto"/>
      </w:pP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5600"/>
        <w:gridCol w:w="250"/>
        <w:gridCol w:w="4850"/>
      </w:tblGrid>
      <w:tr>
        <w:trPr>
          <w:cantSplit/>
        </w:trPr>
        <w:tc>
          <w:tcPr>
            <w:tcW w:type="dxa" w:w="5600"/>
            <w:vAlign w:val="top"/>
            <w:tcBorders>
              <w:top w:val="single" w:sz="8" w:color="C7CCD3"/>
              <w:left w:val="single" w:sz="8" w:color="C7CCD3"/>
              <w:bottom w:val="single" w:sz="8" w:color="C7CCD3"/>
              <w:right w:val="single" w:sz="8" w:color="C7CCD3"/>
            </w:tcBorders>
            <w:tcMar>
              <w:top w:w="175" w:type="dxa"/>
              <w:bottom w:w="165" w:type="dxa"/>
              <w:start w:w="180" w:type="dxa"/>
              <w:end w:w="180" w:type="dxa"/>
            </w:tcMar>
            <w:shd w:fill="FFFFFF"/>
          </w:tcPr>
          <w:p>
            <w:pPr>
              <w:spacing w:before="0" w:after="80" w:line="240" w:lineRule="auto"/>
            </w:pPr>
            <w:r>
              <w:rPr>
                <w:rFonts w:ascii="Arial" w:hAnsi="Arial"/>
                <w:b/>
                <w:i w:val="0"/>
                <w:color w:val="0A1F44"/>
                <w:sz w:val="23"/>
              </w:rPr>
              <w:t>Performance &amp; Packaging</w:t>
            </w:r>
          </w:p>
          <w:p>
            <w:pPr>
              <w:spacing w:before="0" w:after="60" w:line="240" w:lineRule="auto"/>
            </w:pPr>
            <w:r>
              <w:rPr>
                <w:rFonts w:ascii="Arial" w:hAnsi="Arial"/>
                <w:b/>
                <w:i w:val="0"/>
                <w:color w:val="667085"/>
                <w:sz w:val="15"/>
              </w:rPr>
              <w:t xml:space="preserve">Viscosity  </w:t>
            </w:r>
            <w:r>
              <w:rPr>
                <w:rFonts w:ascii="Arial" w:hAnsi="Arial"/>
                <w:b w:val="0"/>
                <w:i w:val="0"/>
                <w:color w:val="24344A"/>
                <w:sz w:val="15"/>
              </w:rPr>
              <w:t>The supplier describes an excellent particle size distribution. Formulation-specific viscosity must be verified.</w:t>
            </w:r>
          </w:p>
          <w:p>
            <w:pPr>
              <w:spacing w:before="0" w:after="0" w:line="240" w:lineRule="auto"/>
            </w:pPr>
            <w:r>
              <w:rPr>
                <w:rFonts w:ascii="Arial" w:hAnsi="Arial"/>
                <w:b/>
                <w:i w:val="0"/>
                <w:color w:val="667085"/>
                <w:sz w:val="15"/>
              </w:rPr>
              <w:t xml:space="preserve">Packaging  </w:t>
            </w:r>
            <w:r>
              <w:rPr>
                <w:rFonts w:ascii="Arial" w:hAnsi="Arial"/>
                <w:b w:val="0"/>
                <w:i w:val="0"/>
                <w:color w:val="24344A"/>
                <w:sz w:val="15"/>
              </w:rPr>
              <w:t>Packaging is not stated in the supplier TDS. The supplied packaging artwork is a concept mockup only and is not approved evidence of pack size, label text, or legal attribution.</w:t>
            </w:r>
          </w:p>
        </w:tc>
        <w:tc>
          <w:tcPr>
            <w:tcW w:type="dxa" w:w="250"/>
            <w:vAlign w:val="top"/>
            <w:tcMar>
              <w:top w:w="0" w:type="dxa"/>
              <w:bottom w:w="0" w:type="dxa"/>
              <w:start w:w="0" w:type="dxa"/>
              <w:end w:w="0" w:type="dxa"/>
            </w:tcMar>
          </w:tcPr>
          <w:p/>
        </w:tc>
        <w:tc>
          <w:tcPr>
            <w:tcW w:type="dxa" w:w="4850"/>
            <w:vAlign w:val="top"/>
            <w:tcBorders>
              <w:top w:val="single" w:sz="8" w:color="C7CCD3"/>
              <w:left w:val="single" w:sz="8" w:color="C7CCD3"/>
              <w:bottom w:val="single" w:sz="8" w:color="C7CCD3"/>
              <w:right w:val="single" w:sz="8" w:color="C7CCD3"/>
            </w:tcBorders>
            <w:tcMar>
              <w:top w:w="175" w:type="dxa"/>
              <w:bottom w:w="165" w:type="dxa"/>
              <w:start w:w="180" w:type="dxa"/>
              <w:end w:w="180" w:type="dxa"/>
            </w:tcMar>
            <w:shd w:fill="FFFFFF"/>
          </w:tcPr>
          <w:p>
            <w:pPr>
              <w:spacing w:before="0" w:after="100" w:line="240" w:lineRule="auto"/>
            </w:pPr>
            <w:r>
              <w:rPr>
                <w:rFonts w:ascii="Arial" w:hAnsi="Arial"/>
                <w:b/>
                <w:i w:val="0"/>
                <w:color w:val="0A1F44"/>
                <w:sz w:val="23"/>
              </w:rPr>
              <w:t>Safety / SDS Status</w:t>
            </w:r>
          </w:p>
          <w:p>
            <w:pPr>
              <w:spacing w:before="0" w:after="0" w:line="252" w:lineRule="auto"/>
            </w:pPr>
            <w:r>
              <w:rPr>
                <w:rFonts w:ascii="Arial" w:hAnsi="Arial"/>
                <w:b w:val="0"/>
                <w:i w:val="0"/>
                <w:color w:val="24344A"/>
                <w:sz w:val="16"/>
              </w:rPr>
              <w:t>An aligned SDS was not provided for this draft. Confirm the supplied-product identifier, issuing entity, emergency contact, and revision before external use.</w:t>
            </w:r>
          </w:p>
        </w:tc>
      </w:tr>
    </w:tbl>
    <w:p>
      <w:pPr>
        <w:spacing w:before="100" w:after="40" w:line="240" w:lineRule="auto"/>
      </w:pPr>
      <w:r>
        <w:rPr>
          <w:rFonts w:ascii="Arial" w:hAnsi="Arial"/>
          <w:b w:val="0"/>
          <w:i w:val="0"/>
          <w:color w:val="667085"/>
          <w:sz w:val="14"/>
        </w:rPr>
        <w:t>Supplier-reported values reproduce the primary supplier TDS. The source does not state test methods, tolerances, or whether values are typical or specification limits. Product suitability must be evaluated in the intended formulation. Legal attribution, company contacts, SDS/COA issuer and packaging details remain unconfirmed and are withheld from public use.</w:t>
      </w:r>
    </w:p>
    <w:tbl>
      <w:tblPr>
        <w:tblW w:type="dxa" w:w="10700"/>
        <w:jc w:val="left"/>
        <w:tblLayout w:type="fixed"/>
        <w:tblLook w:firstColumn="1" w:firstRow="1" w:lastColumn="0" w:lastRow="0" w:noHBand="0" w:noVBand="1" w:val="04A0"/>
        <w:tblInd w:w="0" w:type="dxa"/>
      </w:tblPr>
      <w:tblGrid>
        <w:gridCol w:w="10700"/>
      </w:tblGrid>
      <w:tr>
        <w:trPr>
          <w:cantSplit/>
        </w:trPr>
        <w:tc>
          <w:tcPr>
            <w:tcW w:type="dxa" w:w="10700"/>
            <w:vAlign w:val="top"/>
            <w:tcBorders>
              <w:top w:val="single" w:sz="8" w:color="C7CCD3"/>
              <w:left w:val="single" w:sz="8" w:color="C7CCD3"/>
              <w:bottom w:val="single" w:sz="8" w:color="C7CCD3"/>
              <w:right w:val="single" w:sz="8" w:color="C7CCD3"/>
            </w:tcBorders>
            <w:tcMar>
              <w:top w:w="145" w:type="dxa"/>
              <w:bottom w:w="135" w:type="dxa"/>
              <w:start w:w="180" w:type="dxa"/>
              <w:end w:w="180" w:type="dxa"/>
            </w:tcMar>
            <w:shd w:fill="F1F4F8"/>
          </w:tcPr>
          <w:p>
            <w:pPr>
              <w:spacing w:before="0" w:after="40" w:line="240" w:lineRule="auto"/>
            </w:pPr>
            <w:r>
              <w:rPr>
                <w:rFonts w:ascii="Arial" w:hAnsi="Arial"/>
                <w:b/>
                <w:i w:val="0"/>
                <w:color w:val="0A1F44"/>
                <w:sz w:val="19"/>
              </w:rPr>
              <w:t>Release Status</w:t>
            </w:r>
          </w:p>
          <w:p>
            <w:pPr>
              <w:spacing w:before="0" w:after="0" w:line="240" w:lineRule="auto"/>
            </w:pPr>
            <w:r>
              <w:rPr>
                <w:rFonts w:ascii="Arial" w:hAnsi="Arial"/>
                <w:b w:val="0"/>
                <w:i w:val="0"/>
                <w:color w:val="24344A"/>
                <w:sz w:val="15"/>
              </w:rPr>
              <w:t>Pending user confirmation before public use: brand owner; manufacturer / manufactured-for / distributor; SDS and COA issuer; packaging label entity; company contact details; trademark status.</w:t>
            </w:r>
          </w:p>
        </w:tc>
      </w:tr>
    </w:tbl>
    <w:p>
      <w:pPr>
        <w:spacing w:before="60" w:after="0" w:line="240" w:lineRule="auto"/>
        <w:jc w:val="center"/>
      </w:pPr>
      <w:r>
        <w:rPr>
          <w:rFonts w:ascii="Arial" w:hAnsi="Arial"/>
          <w:b/>
          <w:i w:val="0"/>
          <w:color w:val="0A1F44"/>
          <w:sz w:val="14"/>
        </w:rPr>
        <w:t>DRAFT - NOT APPROVED FOR PUBLIC USE</w:t>
      </w:r>
    </w:p>
    <w:sectPr>
      <w:headerReference w:type="default" r:id="rId9"/>
      <w:footerReference w:type="default" r:id="rId10"/>
      <w:pgSz w:w="11909" w:h="16358"/>
      <w:pgMar w:top="1267" w:right="547" w:bottom="1512" w:left="547" w:header="173" w:footer="17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40" w:line="240" w:lineRule="auto"/>
      <w:pBdr>
        <w:bottom w:val="single" w:sz="8" w:space="5" w:color="C7CCD3"/>
      </w:pBdr>
    </w:pP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7600"/>
      <w:gridCol w:w="3100"/>
    </w:tblGrid>
    <w:tr>
      <w:trPr>
        <w:cantSplit/>
      </w:trPr>
      <w:tc>
        <w:tcPr>
          <w:tcW w:type="dxa" w:w="7600"/>
          <w:vAlign w:val="top"/>
          <w:tcMar>
            <w:top w:w="30" w:type="dxa"/>
            <w:bottom w:w="20" w:type="dxa"/>
            <w:start w:w="0" w:type="dxa"/>
            <w:end w:w="100" w:type="dxa"/>
          </w:tcMar>
        </w:tcPr>
        <w:p>
          <w:pPr>
            <w:spacing w:before="0" w:after="0" w:line="240" w:lineRule="auto"/>
          </w:pPr>
          <w:r>
            <w:rPr>
              <w:rFonts w:ascii="Arial" w:hAnsi="Arial"/>
              <w:b/>
              <w:i w:val="0"/>
              <w:color w:val="0A1F44"/>
              <w:sz w:val="19"/>
            </w:rPr>
            <w:t>CONTACT</w:t>
          </w:r>
        </w:p>
        <w:p>
          <w:pPr>
            <w:spacing w:before="0" w:after="0" w:line="240" w:lineRule="auto"/>
          </w:pPr>
          <w:r>
            <w:rPr>
              <w:rFonts w:ascii="Arial" w:hAnsi="Arial"/>
              <w:b/>
              <w:i w:val="0"/>
              <w:color w:val="176FD1"/>
              <w:sz w:val="17"/>
            </w:rPr>
            <w:t>Company and contact details pending user approval</w:t>
          </w:r>
        </w:p>
        <w:p>
          <w:pPr>
            <w:spacing w:before="0" w:after="0" w:line="240" w:lineRule="auto"/>
          </w:pPr>
          <w:r>
            <w:rPr>
              <w:rFonts w:ascii="Arial" w:hAnsi="Arial"/>
              <w:b w:val="0"/>
              <w:i w:val="0"/>
              <w:color w:val="667085"/>
              <w:sz w:val="14"/>
            </w:rPr>
            <w:t>Legal name / address / email / website: pending user approval</w:t>
          </w:r>
        </w:p>
      </w:tc>
      <w:tc>
        <w:tcPr>
          <w:tcW w:type="dxa" w:w="3100"/>
          <w:vAlign w:val="top"/>
          <w:tcMar>
            <w:top w:w="30" w:type="dxa"/>
            <w:bottom w:w="20" w:type="dxa"/>
            <w:start w:w="100" w:type="dxa"/>
            <w:end w:w="0" w:type="dxa"/>
          </w:tcMar>
        </w:tcPr>
        <w:p>
          <w:pPr>
            <w:spacing w:before="0" w:after="0" w:line="240" w:lineRule="auto"/>
            <w:jc w:val="right"/>
          </w:pPr>
          <w:r>
            <w:drawing>
              <wp:inline xmlns:a="http://schemas.openxmlformats.org/drawingml/2006/main" xmlns:pic="http://schemas.openxmlformats.org/drawingml/2006/picture">
                <wp:extent cx="1051560" cy="788670"/>
                <wp:docPr id="1" name="Picture 1" title="TIOVAR" descr="TIOVAR logo"/>
                <wp:cNvGraphicFramePr>
                  <a:graphicFrameLocks noChangeAspect="1"/>
                </wp:cNvGraphicFramePr>
                <a:graphic>
                  <a:graphicData uri="http://schemas.openxmlformats.org/drawingml/2006/picture">
                    <pic:pic>
                      <pic:nvPicPr>
                        <pic:cNvPr id="0" name="ChatGPT Image 2026年8月26日 12_07_24.png"/>
                        <pic:cNvPicPr/>
                      </pic:nvPicPr>
                      <pic:blipFill>
                        <a:blip r:embed="rId1"/>
                        <a:srcRect l="2500" r="2500" t="29000" b="17000"/>
                        <a:stretch>
                          <a:fillRect/>
                        </a:stretch>
                      </pic:blipFill>
                      <pic:spPr>
                        <a:xfrm>
                          <a:off x="0" y="0"/>
                          <a:ext cx="1051560" cy="788670"/>
                        </a:xfrm>
                        <a:prstGeom prst="rect"/>
                      </pic:spPr>
                    </pic:pic>
                  </a:graphicData>
                </a:graphic>
              </wp:inline>
            </w:drawing>
          </w:r>
        </w:p>
      </w:tc>
    </w:tr>
  </w:tbl>
  <w:p>
    <w:pPr>
      <w:spacing w:before="0" w:after="0" w:line="240" w:lineRule="auto"/>
      <w:jc w:val="right"/>
    </w:pPr>
    <w:r>
      <w:rPr>
        <w:rFonts w:ascii="Arial" w:hAnsi="Arial"/>
        <w:b w:val="0"/>
        <w:i w:val="0"/>
        <w:color w:val="667085"/>
        <w:sz w:val="13"/>
      </w:rPr>
      <w:t>TDS | TP-U100 Rutile Titanium Dioxide | Draft | Rev. 0.1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3600"/>
      <w:gridCol w:w="7100"/>
    </w:tblGrid>
    <w:tr>
      <w:trPr>
        <w:cantSplit/>
      </w:trPr>
      <w:tc>
        <w:tcPr>
          <w:tcW w:type="dxa" w:w="3600"/>
          <w:vAlign w:val="top"/>
          <w:shd w:fill="F1F4F8"/>
          <w:tcMar>
            <w:top w:w="60" w:type="dxa"/>
            <w:bottom w:w="60" w:type="dxa"/>
            <w:start w:w="80" w:type="dxa"/>
            <w:end w:w="80" w:type="dxa"/>
          </w:tcMar>
        </w:tcPr>
        <w:p>
          <w:pPr>
            <w:spacing w:before="0" w:after="0" w:line="240" w:lineRule="auto"/>
          </w:pPr>
          <w:r>
            <w:drawing>
              <wp:inline xmlns:a="http://schemas.openxmlformats.org/drawingml/2006/main" xmlns:pic="http://schemas.openxmlformats.org/drawingml/2006/picture">
                <wp:extent cx="1325880" cy="994410"/>
                <wp:docPr id="1" name="Picture 1" title="TIOVAR" descr="TIOVAR logo"/>
                <wp:cNvGraphicFramePr>
                  <a:graphicFrameLocks noChangeAspect="1"/>
                </wp:cNvGraphicFramePr>
                <a:graphic>
                  <a:graphicData uri="http://schemas.openxmlformats.org/drawingml/2006/picture">
                    <pic:pic>
                      <pic:nvPicPr>
                        <pic:cNvPr id="0" name="ChatGPT Image 2026年8月26日 12_07_24.png"/>
                        <pic:cNvPicPr/>
                      </pic:nvPicPr>
                      <pic:blipFill>
                        <a:blip r:embed="rId1"/>
                        <a:srcRect l="2500" r="2500" t="29000" b="17000"/>
                        <a:stretch>
                          <a:fillRect/>
                        </a:stretch>
                      </pic:blipFill>
                      <pic:spPr>
                        <a:xfrm>
                          <a:off x="0" y="0"/>
                          <a:ext cx="1325880" cy="994410"/>
                        </a:xfrm>
                        <a:prstGeom prst="rect"/>
                      </pic:spPr>
                    </pic:pic>
                  </a:graphicData>
                </a:graphic>
              </wp:inline>
            </w:drawing>
          </w:r>
        </w:p>
      </w:tc>
      <w:tc>
        <w:tcPr>
          <w:tcW w:type="dxa" w:w="7100"/>
          <w:vAlign w:val="center"/>
          <w:shd w:fill="F1F4F8"/>
          <w:tcMar>
            <w:top w:w="70" w:type="dxa"/>
            <w:bottom w:w="60" w:type="dxa"/>
            <w:start w:w="80" w:type="dxa"/>
            <w:end w:w="80" w:type="dxa"/>
          </w:tcMar>
        </w:tcPr>
        <w:p>
          <w:pPr>
            <w:spacing w:before="0" w:after="0" w:line="240" w:lineRule="auto"/>
            <w:jc w:val="right"/>
          </w:pPr>
          <w:r>
            <w:rPr>
              <w:rFonts w:ascii="Arial" w:hAnsi="Arial"/>
              <w:b/>
              <w:i w:val="0"/>
              <w:color w:val="176FD1"/>
              <w:sz w:val="44"/>
            </w:rPr>
            <w:t>TP-U100</w:t>
          </w:r>
        </w:p>
        <w:p>
          <w:pPr>
            <w:spacing w:before="0" w:after="0" w:line="240" w:lineRule="auto"/>
            <w:jc w:val="right"/>
          </w:pPr>
          <w:r>
            <w:rPr>
              <w:rFonts w:ascii="Arial" w:hAnsi="Arial"/>
              <w:b w:val="0"/>
              <w:i w:val="0"/>
              <w:color w:val="667085"/>
              <w:sz w:val="21"/>
            </w:rPr>
            <w:t>Rutile Titanium Dioxide</w:t>
          </w:r>
        </w:p>
      </w:tc>
    </w:tr>
  </w:tbl>
  <w:p>
    <w:pPr>
      <w:spacing w:before="0" w:after="0" w:line="240" w:lineRule="auto"/>
      <w:pBdr>
        <w:bottom w:val="single" w:sz="8" w:space="5" w:color="C7CCD3"/>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2" w:lineRule="auto"/>
    </w:pPr>
    <w:rPr>
      <w:rFonts w:ascii="Arial" w:hAnsi="Arial"/>
      <w:color w:val="24344A"/>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TP-U100 Technical Data Sheet</dc:title>
  <dc:subject>TIOVAR TP-U100 draft technical data sheet</dc:subject>
  <dc:creator/>
  <cp:keywords>TIOVAR, TP-U100, rutile titanium dioxide, technical data sheet, draft</cp:keywords>
  <dc:description>User approval required before public placement</dc:description>
  <cp:lastModifiedBy/>
  <cp:revision>1</cp:revision>
  <dcterms:created xsi:type="dcterms:W3CDTF">2013-12-23T23:15:00Z</dcterms:created>
  <dcterms:modified xsi:type="dcterms:W3CDTF">2013-12-23T23:15:00Z</dcterms:modified>
  <cp:category/>
</cp:coreProperties>
</file>