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高钾类未风化数据_副本(2).xlsx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变量:{氧化钾(K2O)，氧化钙(CaO)，氧化镁(MgO)，氧化铝(Al2O3)，氧化铁(Fe2O3)，氧化铜(CuO)}</w:t>
      </w:r>
      <w:r>
        <w:rPr>
          <w:b w:val="false"/>
          <w:bCs w:val="false"/>
          <w:color w:val="000000"/>
          <w:sz w:val="18"/>
          <w:szCs w:val="18"/>
        </w:rPr>
        <w:br/>
        <w:t xml:space="preserve">参数：
主成分个数:{3}</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0.49，同时，Bartlett球形检验的结果显示，显著性P值为0.762，水平上不呈现显著性，接受原假设，也就是变量间彼此独立，则无法从中提取公因子，主成分分析无效，建议调整数据质量，程度为极不适合。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0.490</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16.016</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0.762</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0.49，同时，Bartlett球形检验的结果显示，显著性P值为0.762，水平上不呈现显著性，接受原假设，也就是变量间彼此独立，则无法从中提取公因子，主成分分析无效，建议调整数据质量，程度为极不适合。</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34.639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64.97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16.878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81.848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91.478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96.444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0.213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3.556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方差解释表中，在主成分4时，总方差解释的特征根低于1，变量解释的贡献率达到91.478，以上仅为参考，若特征根小于1临界值过大，也可以集合具体情况具体分析。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0948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094823"/>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0.399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0.574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-0.623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0.876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氧化铜(CuO)</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-0.615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F1=-0.124×氧化钾(K2O)-0.011×氧化钙(CaO)+0.345×氧化镁(MgO)+0.358×氧化铝(Al2O3)+0.426×氧化铁(Fe2O3)+0.192×氧化铜(CuO)</w:t>
      </w:r>
      <w:r>
        <w:rPr>
          <w:b w:val="false"/>
          <w:bCs w:val="false"/>
          <w:color w:val="000000"/>
          <w:sz w:val="18"/>
          <w:szCs w:val="18"/>
        </w:rPr>
        <w:br/>
        <w:t xml:space="preserve">F2=0.369×氧化钾(K2O)+0.497×氧化钙(CaO)-0.219×氧化镁(MgO)+0.025×氧化铝(Al2O3)+0.135×氧化铁(Fe2O3)+0.316×氧化铜(CuO)</w:t>
      </w:r>
      <w:r>
        <w:rPr>
          <w:b w:val="false"/>
          <w:bCs w:val="false"/>
          <w:color w:val="000000"/>
          <w:sz w:val="18"/>
          <w:szCs w:val="18"/>
        </w:rPr>
        <w:br/>
        <w:t xml:space="preserve">F3=0.526×氧化钾(K2O)+0.109×氧化钙(CaO)+0.207×氧化镁(MgO)+0.504×氧化铝(Al2O3)-0.158×氧化铁(Fe2O3)-0.615×氧化铜(CuO)</w:t>
      </w:r>
      <w:r>
        <w:rPr>
          <w:b w:val="false"/>
          <w:bCs w:val="false"/>
          <w:color w:val="000000"/>
          <w:sz w:val="18"/>
          <w:szCs w:val="18"/>
        </w:rPr>
        <w:br/>
        <w:t xml:space="preserve">由上可以得到：</w:t>
      </w:r>
      <w:r>
        <w:rPr>
          <w:b w:val="false"/>
          <w:bCs w:val="false"/>
          <w:color w:val="000000"/>
          <w:sz w:val="18"/>
          <w:szCs w:val="18"/>
        </w:rPr>
        <w:br/>
        <w:t xml:space="preserve">F=(0.346/0.818)×F1+(0.303/0.818)×F2+(0.169/0.818)×F3</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42.321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37.058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16.878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81.848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20.621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主成分分析的权重计算结果显示，主成分1的权重为42.321%、主成分2的权重为37.058%、主成分3的权重为20.621%，其中指标权重最大值为主成分1（42.321%），最小值为主成分3（20.621%）。</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0.8674066205320974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1.896143747450842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-0.039353969526315265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0.3856620790676347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0.5310717515617908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0.6906295598462353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0.4721844746624392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0.3094367727009361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0.3675380383967405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-0.22383943069064136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1.697311937382184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-0.8085083848837109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0.2899569890107008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-0.5374291549437155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0.4129454436057779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1.76698270898107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0.23639554770065127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1.3157726292995222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-1.2404352951657631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0.6751940064906802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0.2105923268275909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0.11975460060454424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0.8706071782769832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-0.7890918001636704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0.19400348183890812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0.203310366302742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0.11993588654819044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0.3080095841449888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0.07249565437549531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-1.0695432859752112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0.7522431623497527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1.1947345087987873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-0.18397711530644656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-0.4030547842293702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0.5154713887436394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-0.991339993672312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-0.4345021127412965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0.5152961700446378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-0.8345795199342119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-1.6647990119042675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-0.9865379785629318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-1.0446306916619366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-1.6534558249389624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0.33120204017235194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-1.1644432036332983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-1.462409726047646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-1.0728748620037154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-0.717482509732483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vridl47pvko9u9c3qzi8w.png"/><Relationship Id="rId6" Type="http://schemas.openxmlformats.org/officeDocument/2006/relationships/image" Target="media/kqtahub2pvpdnwpfwcgmn.png"/><Relationship Id="rId7" Type="http://schemas.openxmlformats.org/officeDocument/2006/relationships/image" Target="media/tzhz8qg3ylgw3a4wquat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2022-09-16T09:27:42.006Z</dcterms:created>
  <dcterms:modified xsi:type="dcterms:W3CDTF">2022-09-16T09:27:42.006Z</dcterms:modified>
</cp:coreProperties>
</file>

<file path=docProps/custom.xml><?xml version="1.0" encoding="utf-8"?>
<Properties xmlns="http://schemas.openxmlformats.org/officeDocument/2006/custom-properties" xmlns:vt="http://schemas.openxmlformats.org/officeDocument/2006/docPropsVTypes"/>
</file>