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5442E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</w:t>
      </w:r>
    </w:p>
    <w:p w14:paraId="7055F87C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模型的性能对超参数（如n1和n2）的选择较为敏感，而由于药物结构的多样性，在实际应用中这些参数并不总是易于确定。探索自动化超参数优化技术（例如贝叶斯优化或网格搜索）将有助于进一步提升模型在不同数据集上的适应性。1</w:t>
      </w:r>
    </w:p>
    <w:p w14:paraId="57F9610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尽管该模型在现有数据集上表现优异，但测试HAG-DTA模型在更多未见数据集上的表现，包括包含多样化化学结构的数据集，将更有价值，以便更准确地评估其泛化能力。</w:t>
      </w:r>
    </w:p>
    <w:p w14:paraId="754A0F8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分层结构和多层图神经网络（GNN）的使用使得模型相当复杂，这可能导致训练时间延长和计算需求增加。未来的工作可以考虑简化架构同时保持性能，例如通过探索更高效的GNN设计或移除影响较小的层。1</w:t>
      </w:r>
    </w:p>
    <w:p w14:paraId="5CA501C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尽管作者报告了使用不同随机种子的多次运行，但关于评估模型之间观察到的差异显著性的统计检验的讨论有限。使用配对t检验或方差分析将HAG-DTA模型的结果与基线模型进行比较，将加强论文的统计严谨性。这将允许对所提出方法的优越性得出更可靠的结论。1</w:t>
      </w:r>
    </w:p>
    <w:p w14:paraId="1F94314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作者提到，实验是用五个随机种子进行的，但他们没有具体说明是否应用了k倍交叉验证。实施k倍交叉验证将有助于降低随机方差的风险，提高报告结果的可靠性。1</w:t>
      </w:r>
    </w:p>
    <w:p w14:paraId="69340E1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将[1-2]等研究纳入本文的文献部分可以提供更全面的观点。1</w:t>
      </w:r>
    </w:p>
    <w:p w14:paraId="0BF427B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832EAF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</w:t>
      </w:r>
    </w:p>
    <w:p w14:paraId="75AD9313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清晰度和结构</w:t>
      </w:r>
    </w:p>
    <w:p w14:paraId="5FCACF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模型描述中的模糊性：HAG-DTA架构的描述，特别是分层GNN（HGNN）和深度GNN（DGNN）模块之间的相互作用，缺乏清晰度。例如，从局部特征提取到全局特征提取的过渡不够详细，这可能会让不熟悉GNN的读者感到困惑。</w:t>
      </w:r>
      <w:r>
        <w:rPr>
          <w:rFonts w:hint="default"/>
          <w:lang w:val="en-US" w:eastAsia="zh-CN"/>
        </w:rPr>
        <w:t>1</w:t>
      </w:r>
    </w:p>
    <w:p w14:paraId="300125E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术语不一致：“多尺度特征”和“层次聚类”等术语经常使用，但并不总是有明确的定义。导言中的术语表或更精确的定义将提高可访问性。</w:t>
      </w:r>
      <w:r>
        <w:rPr>
          <w:rFonts w:hint="default"/>
          <w:lang w:val="en-US" w:eastAsia="zh-CN"/>
        </w:rPr>
        <w:t>1</w:t>
      </w:r>
    </w:p>
    <w:p w14:paraId="476498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过载部分：“材料和方法”部分很密集，以一种难以理解的方式结合了输入表示、模型架构和损失函数。可以更好地组织小节以分隔这些组件。</w:t>
      </w:r>
      <w:r>
        <w:rPr>
          <w:rFonts w:hint="default"/>
          <w:lang w:val="en-US" w:eastAsia="zh-CN"/>
        </w:rPr>
        <w:t>1</w:t>
      </w:r>
    </w:p>
    <w:p w14:paraId="11BDC6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2.方法问题</w:t>
      </w:r>
    </w:p>
    <w:p w14:paraId="4FAB64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超参数的合理性：超参数的选择，如n_1和n_2，是通过实验探索的，但搜索空间的合理性并不充分。为什么选择这些范围，为什么不选择其他范围？</w:t>
      </w:r>
    </w:p>
    <w:p w14:paraId="5607D8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MMD损失加权：文章指出，MMD损失的正则化系数β被设置为“小值”，以保留特征分布之间的某些差异。然而，没有解释什么构成“小值”或如何确定，这削弱了再现性。</w:t>
      </w:r>
    </w:p>
    <w:p w14:paraId="4211FC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GNN变体的有限讨论：该研究评估了四种GNN变体（GCN、SAGE、GAT、GIN），但很少讨论为什么选择这些变体或它们的差异如何影响性能。对它们是否适合DTA任务进行更深入的分析将加强该方法。</w:t>
      </w:r>
    </w:p>
    <w:p w14:paraId="565CED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3.结果与评价</w:t>
      </w:r>
    </w:p>
    <w:p w14:paraId="28BCB9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不完整的基线比较：虽然本文将HAG-DTA与几个基线模型进行了比较，但它没有包括DTA预测中的一些最新最先进的模型（例如2023年之后发布的模型）。这限制了优越性的主张。1</w:t>
      </w:r>
    </w:p>
    <w:p w14:paraId="4D8354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统计显著性：结果报告了性能指标的平均值和标准差，但没有讨论统计显著性检验来确认HAG-DTA对基线的改进是有意义的。1</w:t>
      </w:r>
    </w:p>
    <w:p w14:paraId="3017A1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基线模型描述不足：本文将HAG-DTA与KronRLS和DeepDTA等基线进行了比较，但对其架构或局限性提供了最少的细节。这种缺乏深度的情况削弱了比较，并掩盖了HAG-DTA的改进。</w:t>
      </w:r>
      <w:bookmarkStart w:id="0" w:name="_GoBack"/>
      <w:bookmarkEnd w:id="0"/>
    </w:p>
    <w:p w14:paraId="20BCD8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4.可解释性和可视化</w:t>
      </w:r>
    </w:p>
    <w:p w14:paraId="2924DA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可视化清晰度：图3和图4用于超参数探索和模型解释，但本文没有充分描述其内容。</w:t>
      </w:r>
    </w:p>
    <w:p w14:paraId="5F5896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过度强调可解释性：“良好可解释性”的说法得到了功能组和注意力评分可视化的支持，但这些可视化对药物发现的实际意义没有得到讨论。这些见解如何转化为现实世界的应用？</w:t>
      </w:r>
    </w:p>
    <w:p w14:paraId="4BC814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5.伦理和实践考虑</w:t>
      </w:r>
    </w:p>
    <w:p w14:paraId="78460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缺乏伦理讨论：文章指出“伦理批准和参与同意：不适用”，但鉴于DTA预测在药物发现中的潜在影响，简要讨论伦理考虑因素（例如药物靶点预测中的偏见）将是相关的。</w:t>
      </w:r>
    </w:p>
    <w:p w14:paraId="553725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实际可行性：没有讨论HAG-DTA的计算复杂性，特别是对于深GNN和多个GNN变体。对于计算资源有限的研究人员来说，这是一个实际问题。</w:t>
      </w:r>
    </w:p>
    <w:p w14:paraId="568FCF19">
      <w:pPr>
        <w:rPr>
          <w:rFonts w:hint="default"/>
          <w:lang w:val="en-US" w:eastAsia="zh-CN"/>
        </w:rPr>
      </w:pPr>
    </w:p>
    <w:p w14:paraId="6E6DD03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三</w:t>
      </w:r>
    </w:p>
    <w:p w14:paraId="68447D42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摘要可以更为简洁，并聚焦于工作的主要贡献。1</w:t>
      </w:r>
    </w:p>
    <w:p w14:paraId="12DE2C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2.对现有DTA预测模型进行更详细的比较，突出HAG-DTA旨在解决的具体局限性，有助于介绍。1</w:t>
      </w:r>
    </w:p>
    <w:p w14:paraId="1F30AA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3.材料和方法可以为为什么多尺度特征对DTA预测至关重要提供更清晰的理论基础。1</w:t>
      </w:r>
    </w:p>
    <w:p w14:paraId="226A96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4.提供更多讨论，分析HAG-DTA不同GNN变体（GCN、GAT、GIN、SAGE）性能差异的潜在原因。</w:t>
      </w:r>
    </w:p>
    <w:p w14:paraId="428000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5.扩展可解释性结果。考虑讨论这些可解释性结果如何实际应用于药物发现。</w:t>
      </w:r>
    </w:p>
    <w:p w14:paraId="0F249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6.可以添加一些采用GNN和注意机制进行生物相互作用预测的参考文献，以提供更全面的文献综述，如PMID:33745450、35432476、35053212、35055158。1</w:t>
      </w:r>
    </w:p>
    <w:p w14:paraId="65A69F6E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黑体-简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7EACE3"/>
    <w:multiLevelType w:val="singleLevel"/>
    <w:tmpl w:val="F27EACE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4FD3375"/>
    <w:multiLevelType w:val="singleLevel"/>
    <w:tmpl w:val="F4FD3375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EED65AC"/>
    <w:multiLevelType w:val="singleLevel"/>
    <w:tmpl w:val="FEED65AC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56703E"/>
    <w:rsid w:val="6D56703E"/>
    <w:rsid w:val="77F6F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53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2026-05-01T09:02:00Z</dcterms:created>
  <dc:creator>leo</dc:creator>
  <cp:lastModifiedBy>leo</cp:lastModifiedBy>
  <dcterms:modified xsi:type="dcterms:W3CDTF">2026-05-12T01:36:16Z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2052-12.1.23155.23155</vt:lpwstr>
  </property>
  <property fmtid="{D5CDD505-2E9C-101B-9397-08002B2CF9AE}" pid="3" name="ICV">
    <vt:lpwstr>179567C0B4A2CD660F8BF36971C5B6FA_41</vt:lpwstr>
  </property>
</Properties>
</file>