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High Fantasy Suspense Capitalization (Meaning and Tone) - Answer Key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4320"/>
        <w:gridCol w:w="1440"/>
      </w:tblGrid>
      <w:tr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Question #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Correct Answer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b/>
                <w:sz w:val="22"/>
              </w:rPr>
              <w:t>Points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13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B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C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A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</w:tr>
      <w:tr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D</w:t>
            </w:r>
          </w:p>
        </w:tc>
        <w:tc>
          <w:tcPr>
            <w:tcW w:type="dxa" w:w="3360"/>
          </w:tcPr>
          <w:p>
            <w:r>
              <w:rPr>
                <w:rFonts w:ascii="Calibri" w:hAnsi="Calibri"/>
                <w:sz w:val="22"/>
              </w:rPr>
              <w:t>12</w:t>
            </w:r>
          </w:p>
        </w:tc>
      </w:tr>
    </w:tbl>
    <w:p/>
    <w:p>
      <w:r>
        <w:rPr>
          <w:rFonts w:ascii="Calibri" w:hAnsi="Calibri"/>
          <w:b/>
          <w:sz w:val="22"/>
        </w:rPr>
        <w:t>Total Points: 100.0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