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3 - Three Wishes for Christmas (Revised Choices)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This sentence clearly explains Marisol's simple pattern for gifts. | Other sentences give details but not the main controlling idea.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summary should show that shared experiences matter most to her. | Other choices invent feelings that do not match the passage.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Her wishes focus on warmth, art, and visiting Grandma, not status. | Other options describe priorities the text does not support.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This line shows she is picturing time and stories with her grandmother. | Other sentences show context but not her main priority.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Sensory details like smell and stories create a warm, hopeful mood. | Other moods like anger or silliness are not present.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list items show simple, shared, and useful wishes. | Other answers claim she avoids holidays or wants to be alone, which is not shown.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story highlights being grateful for simple, relational gifts. | Other purposes like explaining bus tickets are not the focus.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smooth pattern supports a calm, thankful feeling. | Other moods are not supported by the poem's language.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Images compare bright jewels with warmth and familiar faces. | Other options describe scenes not found in the poem.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Repeating ask reminds us she chooses just a few important wishes. | Other answers misread the tone as demanding or complaining.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Short lines slow down the reader to notice each small detail of love. | Other options misrepresent the structure and tone.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Wishes for warmth and faces show what she truly values. | Other values like awards and toys are not mentioned.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Punch, rocking chair, and braiding hair all show comfort and closeness. | Other feelings like anger or embarrassment are not present.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Both texts center on loving time with an older family member. | Other ideas do not appear in both the passage and poem.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Each text suggests that people and memories are the real gifts. | Other options contradict the message of both texts.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