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pPr>
        <w:sectPr>
          <w:pgSz w:w="11906" w:h="16838" w:code="9"/>
          <w:pgMar w:top="0" w:right="49" w:bottom="0" w:left="0" w:header="720" w:footer="720" w:gutter="0"/>
          <w:cols w:space="720"/>
          <w:docGrid w:linePitch="360"/>
        </w:sectPr>
      </w:pPr>
    </w:p>
    <w:p>
      <w:pPr>
        <w:spacing w:before="360" w:after="120" w:line="360" w:lineRule="auto"/>
        <w:jc w:val="left"/>
      </w:pPr>
      <w:r>
        <w:rPr>
          <w:rFonts w:ascii="Times New Roman" w:hAnsi="Times New Roman" w:eastAsia="Times New Roman"/>
          <w:b/>
          <w:i w:val="0"/>
          <w:color w:val="000000"/>
          <w:sz w:val="32"/>
        </w:rPr>
        <w:t>LỜI CAM ĐOAN</w:t>
      </w:r>
    </w:p>
    <w:p>
      <w:pPr>
        <w:spacing w:after="120" w:before="0" w:line="360" w:lineRule="auto"/>
        <w:ind w:firstLine="720"/>
        <w:jc w:val="both"/>
      </w:pPr>
      <w:r>
        <w:rPr>
          <w:rFonts w:ascii="Times New Roman" w:hAnsi="Times New Roman" w:eastAsia="Times New Roman"/>
          <w:b w:val="0"/>
          <w:i w:val="0"/>
          <w:sz w:val="26"/>
        </w:rPr>
        <w:t>Tôi xin cam đoan đây là công trình nghiên cứu của riêng tôi dưới sự hướng dẫn của PGS.TS. Nguyễn Anh Phong. Các số liệu, kết quả nêu trong khóa luận tốt nghiệp là trung thực và chưa từng được ai công bố trong bất kỳ công trình nào khác.</w:t>
      </w:r>
    </w:p>
    <w:p>
      <w:pPr>
        <w:spacing w:after="120" w:before="0" w:line="360" w:lineRule="auto"/>
        <w:ind w:firstLine="720"/>
        <w:jc w:val="both"/>
      </w:pPr>
      <w:r>
        <w:rPr>
          <w:rFonts w:ascii="Times New Roman" w:hAnsi="Times New Roman" w:eastAsia="Times New Roman"/>
          <w:b w:val="0"/>
          <w:i w:val="0"/>
          <w:sz w:val="26"/>
        </w:rPr>
        <w:t>Tôi xin chịu trách nhiệm về tính trung thực và chính xác của nội dung khóa luận tốt nghiệp này.</w:t>
      </w:r>
    </w:p>
    <w:p>
      <w:pPr>
        <w:spacing w:before="360"/>
        <w:jc w:val="left"/>
      </w:pPr>
      <w:r>
        <w:rPr>
          <w:rFonts w:ascii="Times New Roman" w:hAnsi="Times New Roman" w:eastAsia="Times New Roman"/>
          <w:b w:val="0"/>
          <w:i w:val="0"/>
          <w:sz w:val="26"/>
        </w:rPr>
        <w:t>Sinh viên: Liêu Hoài Phúc</w:t>
      </w:r>
    </w:p>
    <w:p>
      <w:pPr>
        <w:jc w:val="left"/>
      </w:pPr>
      <w:r>
        <w:rPr>
          <w:rFonts w:ascii="Times New Roman" w:hAnsi="Times New Roman" w:eastAsia="Times New Roman"/>
          <w:b w:val="0"/>
          <w:i w:val="0"/>
          <w:sz w:val="26"/>
        </w:rPr>
        <w:t>MSSV: K224141735  —  Lớp: K22414C</w:t>
      </w:r>
    </w:p>
    <w:p>
      <w:pPr>
        <w:spacing w:before="720"/>
        <w:jc w:val="right"/>
      </w:pPr>
      <w:r>
        <w:rPr>
          <w:rFonts w:ascii="Times New Roman" w:hAnsi="Times New Roman" w:eastAsia="Times New Roman"/>
          <w:b w:val="0"/>
          <w:i/>
          <w:sz w:val="26"/>
        </w:rPr>
        <w:t>TP. Hồ Chí Minh, ngày ... tháng ... năm 2026</w:t>
      </w:r>
    </w:p>
    <w:p>
      <w:pPr>
        <w:spacing w:before="240"/>
        <w:jc w:val="right"/>
      </w:pPr>
      <w:r>
        <w:rPr>
          <w:rFonts w:ascii="Times New Roman" w:hAnsi="Times New Roman" w:eastAsia="Times New Roman"/>
          <w:b/>
          <w:i w:val="0"/>
          <w:sz w:val="26"/>
        </w:rPr>
        <w:t>Sinh viên thực hiện</w:t>
      </w:r>
    </w:p>
    <w:p>
      <w:pPr>
        <w:spacing w:before="720"/>
        <w:jc w:val="right"/>
      </w:pPr>
      <w:r>
        <w:rPr>
          <w:rFonts w:ascii="Times New Roman" w:hAnsi="Times New Roman" w:eastAsia="Times New Roman"/>
          <w:b w:val="0"/>
          <w:i w:val="0"/>
          <w:sz w:val="26"/>
        </w:rPr>
        <w:t>Liêu Hoài Phúc</w:t>
      </w:r>
    </w:p>
    <w:p>
      <w:r>
        <w:br w:type="page"/>
      </w:r>
    </w:p>
    <w:p>
      <w:pPr>
        <w:spacing w:before="360" w:after="120" w:line="360" w:lineRule="auto"/>
        <w:jc w:val="left"/>
      </w:pPr>
      <w:r>
        <w:rPr>
          <w:rFonts w:ascii="Times New Roman" w:hAnsi="Times New Roman" w:eastAsia="Times New Roman"/>
          <w:b/>
          <w:i w:val="0"/>
          <w:color w:val="000000"/>
          <w:sz w:val="32"/>
        </w:rPr>
        <w:t>LỜI CẢM ƠN</w:t>
      </w:r>
    </w:p>
    <w:p>
      <w:pPr>
        <w:spacing w:after="120" w:before="0" w:line="360" w:lineRule="auto"/>
        <w:ind w:firstLine="720"/>
        <w:jc w:val="both"/>
      </w:pPr>
      <w:r>
        <w:rPr>
          <w:rFonts w:ascii="Times New Roman" w:hAnsi="Times New Roman" w:eastAsia="Times New Roman"/>
          <w:b w:val="0"/>
          <w:i w:val="0"/>
          <w:sz w:val="26"/>
        </w:rPr>
        <w:t>I would like to express my sincere gratitude to my supervisor, Assoc. Prof. Dr. Nguyen Anh Phong, for his guidance, insight, and continuous support throughout this graduation thesis.</w:t>
      </w:r>
    </w:p>
    <w:p>
      <w:pPr>
        <w:spacing w:after="120" w:before="0" w:line="360" w:lineRule="auto"/>
        <w:ind w:firstLine="720"/>
        <w:jc w:val="both"/>
      </w:pPr>
      <w:r>
        <w:rPr>
          <w:rFonts w:ascii="Times New Roman" w:hAnsi="Times New Roman" w:eastAsia="Times New Roman"/>
          <w:b w:val="0"/>
          <w:i w:val="0"/>
          <w:sz w:val="26"/>
        </w:rPr>
        <w:t>I also thank the faculty of the School of Finance and Banking, University of Economics and Law (UEL), Vietnam National University Ho Chi Minh City, for providing the academic foundation that made this work possible.</w:t>
      </w:r>
    </w:p>
    <w:p>
      <w:pPr>
        <w:spacing w:after="120" w:before="0" w:line="360" w:lineRule="auto"/>
        <w:ind w:firstLine="720"/>
        <w:jc w:val="both"/>
      </w:pPr>
      <w:r>
        <w:rPr>
          <w:rFonts w:ascii="Times New Roman" w:hAnsi="Times New Roman" w:eastAsia="Times New Roman"/>
          <w:b w:val="0"/>
          <w:i w:val="0"/>
          <w:sz w:val="26"/>
        </w:rPr>
        <w:t>I am grateful to my peers for their constructive feedback that improved both the system design and the writing quality.</w:t>
      </w:r>
    </w:p>
    <w:p>
      <w:pPr>
        <w:spacing w:after="120" w:before="0" w:line="360" w:lineRule="auto"/>
        <w:ind w:firstLine="720"/>
        <w:jc w:val="both"/>
      </w:pPr>
      <w:r>
        <w:rPr>
          <w:rFonts w:ascii="Times New Roman" w:hAnsi="Times New Roman" w:eastAsia="Times New Roman"/>
          <w:b w:val="0"/>
          <w:i w:val="0"/>
          <w:sz w:val="26"/>
        </w:rPr>
        <w:t>Finally, I would like to thank my family for their unwavering encouragement and support throughout this journey.</w:t>
      </w:r>
    </w:p>
    <w:p>
      <w:pPr>
        <w:spacing w:after="120" w:before="0" w:line="360" w:lineRule="auto"/>
        <w:ind w:firstLine="720"/>
        <w:jc w:val="both"/>
      </w:pPr>
      <w:r>
        <w:rPr>
          <w:rFonts w:ascii="Times New Roman" w:hAnsi="Times New Roman" w:eastAsia="Times New Roman"/>
          <w:b w:val="0"/>
          <w:i w:val="0"/>
          <w:sz w:val="26"/>
        </w:rPr>
        <w:t>Any remaining limitations in this thesis are my own responsibility.</w:t>
      </w:r>
    </w:p>
    <w:p>
      <w:r>
        <w:br w:type="page"/>
      </w:r>
    </w:p>
    <w:p>
      <w:pPr>
        <w:spacing w:before="360" w:after="120" w:line="360" w:lineRule="auto"/>
        <w:jc w:val="left"/>
      </w:pPr>
      <w:r>
        <w:rPr>
          <w:rFonts w:ascii="Times New Roman" w:hAnsi="Times New Roman" w:eastAsia="Times New Roman"/>
          <w:b/>
          <w:i w:val="0"/>
          <w:color w:val="000000"/>
          <w:sz w:val="32"/>
        </w:rPr>
        <w:t>TÓM TẮT</w:t>
      </w:r>
    </w:p>
    <w:p>
      <w:pPr>
        <w:spacing w:after="120" w:before="0" w:line="360" w:lineRule="auto"/>
        <w:ind w:firstLine="720"/>
        <w:jc w:val="both"/>
      </w:pPr>
      <w:r>
        <w:rPr>
          <w:rFonts w:ascii="Times New Roman" w:hAnsi="Times New Roman" w:eastAsia="Times New Roman"/>
          <w:b w:val="0"/>
          <w:i w:val="0"/>
          <w:sz w:val="26"/>
        </w:rPr>
        <w:t>Quantitative analysis for Vietnamese equities typically requires combining market prices, company fundamentals, and risk analytics across fragmented sources. This thesis presents QuantVN, a web-based quantitative finance platform for HOSE-focused analysis, and a reliability-critical assistant layer that helps users query the system conversationally without sacrificing numeric correctness. The system relies on prepared local datasets (CSV with optional DuckDB acceleration) and enforces runtime integrity using schema validation, OHLC bound checks, quality reports, and manifest-based gating. On top of deterministic internal financial endpoints, the assistant implements a tool-grounded pipeline (planner, grounding tools, policy, provider routing) that produces numeric claims only when backed by evidence and otherwise abstains with diagnostics. We define a five-metric reliability gate and evaluate the assistant with reproducible script-based suites and smoke/QA workflows. The result is an engineering approach that links design decisions to measurable reliability outcomes and supports a graduation-project scale while remaining extensible toward production-grade deployments.</w:t>
      </w:r>
    </w:p>
    <w:p>
      <w:pPr>
        <w:spacing w:before="360" w:after="120" w:line="360" w:lineRule="auto"/>
        <w:jc w:val="left"/>
      </w:pPr>
      <w:r>
        <w:rPr>
          <w:rFonts w:ascii="Times New Roman" w:hAnsi="Times New Roman" w:eastAsia="Times New Roman"/>
          <w:b/>
          <w:i w:val="0"/>
          <w:color w:val="000000"/>
          <w:sz w:val="32"/>
        </w:rPr>
        <w:t>ABSTRACT</w:t>
      </w:r>
    </w:p>
    <w:p>
      <w:pPr>
        <w:spacing w:after="120" w:before="0" w:line="360" w:lineRule="auto"/>
        <w:ind w:firstLine="720"/>
        <w:jc w:val="both"/>
      </w:pPr>
      <w:r>
        <w:rPr>
          <w:rFonts w:ascii="Times New Roman" w:hAnsi="Times New Roman" w:eastAsia="Times New Roman"/>
          <w:b w:val="0"/>
          <w:i/>
          <w:sz w:val="26"/>
        </w:rPr>
        <w:t>[Abstract to be updated]</w:t>
      </w:r>
    </w:p>
    <w:p>
      <w:r>
        <w:br w:type="page"/>
      </w:r>
    </w:p>
    <w:p>
      <w:pPr>
        <w:spacing w:before="360" w:after="120" w:line="360" w:lineRule="auto"/>
        <w:jc w:val="left"/>
      </w:pPr>
      <w:r>
        <w:rPr>
          <w:rFonts w:ascii="Times New Roman" w:hAnsi="Times New Roman" w:eastAsia="Times New Roman"/>
          <w:b/>
          <w:i w:val="0"/>
          <w:color w:val="000000"/>
          <w:sz w:val="32"/>
        </w:rPr>
        <w:t>MỤC LỤC</w:t>
      </w:r>
    </w:p>
    <w:p>
      <w:pPr>
        <w:spacing w:after="120" w:before="0" w:line="360" w:lineRule="auto"/>
        <w:ind w:firstLine="720"/>
        <w:jc w:val="both"/>
      </w:pPr>
      <w:r>
        <w:rPr>
          <w:rFonts w:ascii="Times New Roman" w:hAnsi="Times New Roman" w:eastAsia="Times New Roman"/>
          <w:b w:val="0"/>
          <w:i/>
          <w:sz w:val="26"/>
        </w:rPr>
        <w:t>[Mục lục sẽ được tạo tự động trong Word: References → Table of Contents → Automatic Table]</w:t>
      </w:r>
    </w:p>
    <w:p>
      <w:r>
        <w:br w:type="page"/>
      </w:r>
    </w:p>
    <w:p>
      <w:pPr>
        <w:spacing w:before="360" w:after="120" w:line="360" w:lineRule="auto"/>
        <w:jc w:val="left"/>
      </w:pPr>
      <w:r>
        <w:rPr>
          <w:rFonts w:ascii="Times New Roman" w:hAnsi="Times New Roman" w:eastAsia="Times New Roman"/>
          <w:b/>
          <w:i w:val="0"/>
          <w:color w:val="000000"/>
          <w:sz w:val="32"/>
        </w:rPr>
        <w:t>DANH MỤC HÌNH ẢNH</w:t>
      </w:r>
    </w:p>
    <w:p>
      <w:pPr>
        <w:spacing w:after="120" w:before="0" w:line="360" w:lineRule="auto"/>
        <w:ind w:firstLine="720"/>
        <w:jc w:val="both"/>
      </w:pPr>
      <w:r>
        <w:rPr>
          <w:rFonts w:ascii="Times New Roman" w:hAnsi="Times New Roman" w:eastAsia="Times New Roman"/>
          <w:b w:val="0"/>
          <w:i/>
          <w:sz w:val="26"/>
        </w:rPr>
        <w:t>[Danh mục hình ảnh sẽ được tạo tự động trong Word: References → Insert Table of Figures]</w:t>
      </w:r>
    </w:p>
    <w:p>
      <w:r>
        <w:br w:type="page"/>
      </w:r>
    </w:p>
    <w:p>
      <w:pPr>
        <w:spacing w:before="360" w:after="120" w:line="360" w:lineRule="auto"/>
        <w:jc w:val="left"/>
      </w:pPr>
      <w:r>
        <w:rPr>
          <w:rFonts w:ascii="Times New Roman" w:hAnsi="Times New Roman" w:eastAsia="Times New Roman"/>
          <w:b/>
          <w:i w:val="0"/>
          <w:color w:val="000000"/>
          <w:sz w:val="32"/>
        </w:rPr>
        <w:t>DANH MỤC BẢNG BIỂU</w:t>
      </w:r>
    </w:p>
    <w:p>
      <w:pPr>
        <w:spacing w:after="120" w:before="0" w:line="360" w:lineRule="auto"/>
        <w:ind w:firstLine="720"/>
        <w:jc w:val="both"/>
      </w:pPr>
      <w:r>
        <w:rPr>
          <w:rFonts w:ascii="Times New Roman" w:hAnsi="Times New Roman" w:eastAsia="Times New Roman"/>
          <w:b w:val="0"/>
          <w:i/>
          <w:sz w:val="26"/>
        </w:rPr>
        <w:t>[Danh mục bảng biểu sẽ được tạo tự động trong Word]</w:t>
      </w:r>
    </w:p>
    <w:p>
      <w:r>
        <w:br w:type="page"/>
      </w:r>
    </w:p>
    <w:p>
      <w:pPr>
        <w:spacing w:before="360" w:after="120" w:line="360" w:lineRule="auto"/>
        <w:jc w:val="left"/>
      </w:pPr>
      <w:r>
        <w:rPr>
          <w:rFonts w:ascii="Times New Roman" w:hAnsi="Times New Roman" w:eastAsia="Times New Roman"/>
          <w:b/>
          <w:i w:val="0"/>
          <w:color w:val="000000"/>
          <w:sz w:val="32"/>
        </w:rPr>
        <w:t>DANH MỤC VIẾT TẮT</w:t>
      </w:r>
    </w:p>
    <w:p>
      <w:pPr>
        <w:spacing w:after="40" w:line="312" w:lineRule="auto"/>
        <w:jc w:val="left"/>
      </w:pPr>
      <w:r>
        <w:rPr>
          <w:rFonts w:ascii="Times New Roman" w:hAnsi="Times New Roman" w:eastAsia="Times New Roman"/>
          <w:b/>
          <w:i w:val="0"/>
          <w:sz w:val="24"/>
        </w:rPr>
        <w:t>API</w:t>
      </w:r>
      <w:r>
        <w:rPr>
          <w:rFonts w:ascii="Times New Roman" w:hAnsi="Times New Roman" w:eastAsia="Times New Roman"/>
          <w:b w:val="0"/>
          <w:i w:val="0"/>
          <w:sz w:val="24"/>
        </w:rPr>
        <w:t xml:space="preserve">  —  Application Programming Interface</w:t>
      </w:r>
    </w:p>
    <w:p>
      <w:pPr>
        <w:spacing w:after="40" w:line="312" w:lineRule="auto"/>
        <w:jc w:val="left"/>
      </w:pPr>
      <w:r>
        <w:rPr>
          <w:rFonts w:ascii="Times New Roman" w:hAnsi="Times New Roman" w:eastAsia="Times New Roman"/>
          <w:b/>
          <w:i w:val="0"/>
          <w:sz w:val="24"/>
        </w:rPr>
        <w:t>CI</w:t>
      </w:r>
      <w:r>
        <w:rPr>
          <w:rFonts w:ascii="Times New Roman" w:hAnsi="Times New Roman" w:eastAsia="Times New Roman"/>
          <w:b w:val="0"/>
          <w:i w:val="0"/>
          <w:sz w:val="24"/>
        </w:rPr>
        <w:t xml:space="preserve">  —  Continuous Integration</w:t>
      </w:r>
    </w:p>
    <w:p>
      <w:pPr>
        <w:spacing w:after="40" w:line="312" w:lineRule="auto"/>
        <w:jc w:val="left"/>
      </w:pPr>
      <w:r>
        <w:rPr>
          <w:rFonts w:ascii="Times New Roman" w:hAnsi="Times New Roman" w:eastAsia="Times New Roman"/>
          <w:b/>
          <w:i w:val="0"/>
          <w:sz w:val="24"/>
        </w:rPr>
        <w:t>CVaR</w:t>
      </w:r>
      <w:r>
        <w:rPr>
          <w:rFonts w:ascii="Times New Roman" w:hAnsi="Times New Roman" w:eastAsia="Times New Roman"/>
          <w:b w:val="0"/>
          <w:i w:val="0"/>
          <w:sz w:val="24"/>
        </w:rPr>
        <w:t xml:space="preserve">  —  Conditional Value at Risk</w:t>
      </w:r>
    </w:p>
    <w:p>
      <w:pPr>
        <w:spacing w:after="40" w:line="312" w:lineRule="auto"/>
        <w:jc w:val="left"/>
      </w:pPr>
      <w:r>
        <w:rPr>
          <w:rFonts w:ascii="Times New Roman" w:hAnsi="Times New Roman" w:eastAsia="Times New Roman"/>
          <w:b/>
          <w:i w:val="0"/>
          <w:sz w:val="24"/>
        </w:rPr>
        <w:t>HOSE</w:t>
      </w:r>
      <w:r>
        <w:rPr>
          <w:rFonts w:ascii="Times New Roman" w:hAnsi="Times New Roman" w:eastAsia="Times New Roman"/>
          <w:b w:val="0"/>
          <w:i w:val="0"/>
          <w:sz w:val="24"/>
        </w:rPr>
        <w:t xml:space="preserve">  —  Ho Chi Minh City Stock Exchange</w:t>
      </w:r>
    </w:p>
    <w:p>
      <w:pPr>
        <w:spacing w:after="40" w:line="312" w:lineRule="auto"/>
        <w:jc w:val="left"/>
      </w:pPr>
      <w:r>
        <w:rPr>
          <w:rFonts w:ascii="Times New Roman" w:hAnsi="Times New Roman" w:eastAsia="Times New Roman"/>
          <w:b/>
          <w:i w:val="0"/>
          <w:sz w:val="24"/>
        </w:rPr>
        <w:t>KPI</w:t>
      </w:r>
      <w:r>
        <w:rPr>
          <w:rFonts w:ascii="Times New Roman" w:hAnsi="Times New Roman" w:eastAsia="Times New Roman"/>
          <w:b w:val="0"/>
          <w:i w:val="0"/>
          <w:sz w:val="24"/>
        </w:rPr>
        <w:t xml:space="preserve">  —  Key Performance Indicator</w:t>
      </w:r>
    </w:p>
    <w:p>
      <w:pPr>
        <w:spacing w:after="40" w:line="312" w:lineRule="auto"/>
        <w:jc w:val="left"/>
      </w:pPr>
      <w:r>
        <w:rPr>
          <w:rFonts w:ascii="Times New Roman" w:hAnsi="Times New Roman" w:eastAsia="Times New Roman"/>
          <w:b/>
          <w:i w:val="0"/>
          <w:sz w:val="24"/>
        </w:rPr>
        <w:t>LLM</w:t>
      </w:r>
      <w:r>
        <w:rPr>
          <w:rFonts w:ascii="Times New Roman" w:hAnsi="Times New Roman" w:eastAsia="Times New Roman"/>
          <w:b w:val="0"/>
          <w:i w:val="0"/>
          <w:sz w:val="24"/>
        </w:rPr>
        <w:t xml:space="preserve">  —  Large Language Model</w:t>
      </w:r>
    </w:p>
    <w:p>
      <w:pPr>
        <w:spacing w:after="40" w:line="312" w:lineRule="auto"/>
        <w:jc w:val="left"/>
      </w:pPr>
      <w:r>
        <w:rPr>
          <w:rFonts w:ascii="Times New Roman" w:hAnsi="Times New Roman" w:eastAsia="Times New Roman"/>
          <w:b/>
          <w:i w:val="0"/>
          <w:sz w:val="24"/>
        </w:rPr>
        <w:t>OHLCV</w:t>
      </w:r>
      <w:r>
        <w:rPr>
          <w:rFonts w:ascii="Times New Roman" w:hAnsi="Times New Roman" w:eastAsia="Times New Roman"/>
          <w:b w:val="0"/>
          <w:i w:val="0"/>
          <w:sz w:val="24"/>
        </w:rPr>
        <w:t xml:space="preserve">  —  Open, High, Low, Close, Volume</w:t>
      </w:r>
    </w:p>
    <w:p>
      <w:pPr>
        <w:spacing w:after="40" w:line="312" w:lineRule="auto"/>
        <w:jc w:val="left"/>
      </w:pPr>
      <w:r>
        <w:rPr>
          <w:rFonts w:ascii="Times New Roman" w:hAnsi="Times New Roman" w:eastAsia="Times New Roman"/>
          <w:b/>
          <w:i w:val="0"/>
          <w:sz w:val="24"/>
        </w:rPr>
        <w:t>RAG</w:t>
      </w:r>
      <w:r>
        <w:rPr>
          <w:rFonts w:ascii="Times New Roman" w:hAnsi="Times New Roman" w:eastAsia="Times New Roman"/>
          <w:b w:val="0"/>
          <w:i w:val="0"/>
          <w:sz w:val="24"/>
        </w:rPr>
        <w:t xml:space="preserve">  —  Retrieval-Augmented Generation</w:t>
      </w:r>
    </w:p>
    <w:p>
      <w:pPr>
        <w:spacing w:after="40" w:line="312" w:lineRule="auto"/>
        <w:jc w:val="left"/>
      </w:pPr>
      <w:r>
        <w:rPr>
          <w:rFonts w:ascii="Times New Roman" w:hAnsi="Times New Roman" w:eastAsia="Times New Roman"/>
          <w:b/>
          <w:i w:val="0"/>
          <w:sz w:val="24"/>
        </w:rPr>
        <w:t>VaR</w:t>
      </w:r>
      <w:r>
        <w:rPr>
          <w:rFonts w:ascii="Times New Roman" w:hAnsi="Times New Roman" w:eastAsia="Times New Roman"/>
          <w:b w:val="0"/>
          <w:i w:val="0"/>
          <w:sz w:val="24"/>
        </w:rPr>
        <w:t xml:space="preserve">  —  Value at Risk</w:t>
      </w:r>
    </w:p>
    <w:p>
      <w:r>
        <w:br w:type="page"/>
      </w:r>
    </w:p>
    <w:p>
      <w:pPr>
        <w:spacing w:before="360" w:after="120" w:line="360" w:lineRule="auto"/>
        <w:jc w:val="left"/>
      </w:pPr>
      <w:r>
        <w:rPr>
          <w:rFonts w:ascii="Times New Roman" w:hAnsi="Times New Roman" w:eastAsia="Times New Roman"/>
          <w:b/>
          <w:i w:val="0"/>
          <w:color w:val="000000"/>
          <w:sz w:val="32"/>
        </w:rPr>
        <w:t>Chapter 1: Introduction</w:t>
      </w:r>
    </w:p>
    <w:p>
      <w:pPr>
        <w:spacing w:after="120" w:before="0" w:line="360" w:lineRule="auto"/>
        <w:ind w:firstLine="720"/>
        <w:jc w:val="both"/>
      </w:pPr>
      <w:r>
        <w:rPr>
          <w:rFonts w:ascii="Times New Roman" w:hAnsi="Times New Roman" w:eastAsia="Times New Roman"/>
          <w:b w:val="0"/>
          <w:i w:val="0"/>
          <w:sz w:val="26"/>
        </w:rPr>
        <w:t>Thesis title: QuantVN Strategy Forge: A Reliability-Gated AI Assistant for Trading Strategy Design and Backtesting on Vietnamese Equities (HOSE)</w:t>
      </w:r>
    </w:p>
    <w:p>
      <w:pPr>
        <w:spacing w:before="240" w:after="120" w:line="360" w:lineRule="auto"/>
        <w:jc w:val="left"/>
      </w:pPr>
      <w:r>
        <w:rPr>
          <w:rFonts w:ascii="Times New Roman" w:hAnsi="Times New Roman" w:eastAsia="Times New Roman"/>
          <w:b/>
          <w:i w:val="0"/>
          <w:color w:val="000000"/>
          <w:sz w:val="28"/>
        </w:rPr>
        <w:t>1.1 Background and Motivation</w:t>
      </w:r>
    </w:p>
    <w:p>
      <w:pPr>
        <w:spacing w:after="120" w:before="0" w:line="360" w:lineRule="auto"/>
        <w:ind w:firstLine="720"/>
        <w:jc w:val="both"/>
      </w:pPr>
      <w:r>
        <w:rPr>
          <w:rFonts w:ascii="Times New Roman" w:hAnsi="Times New Roman" w:eastAsia="Times New Roman"/>
          <w:b w:val="0"/>
          <w:i w:val="0"/>
          <w:sz w:val="26"/>
        </w:rPr>
        <w:t>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after="120" w:before="0" w:line="360" w:lineRule="auto"/>
        <w:ind w:firstLine="720"/>
        <w:jc w:val="both"/>
      </w:pPr>
      <w:r>
        <w:rPr>
          <w:rFonts w:ascii="Times New Roman" w:hAnsi="Times New Roman" w:eastAsia="Times New Roman"/>
          <w:b w:val="0"/>
          <w:i w:val="0"/>
          <w:sz w:val="26"/>
        </w:rPr>
        <w:t>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after="120" w:before="0" w:line="360" w:lineRule="auto"/>
        <w:ind w:firstLine="720"/>
        <w:jc w:val="both"/>
      </w:pPr>
      <w:r>
        <w:rPr>
          <w:rFonts w:ascii="Times New Roman" w:hAnsi="Times New Roman" w:eastAsia="Times New Roman"/>
          <w:b w:val="0"/>
          <w:i w:val="0"/>
          <w:sz w:val="26"/>
        </w:rPr>
        <w:t>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240" w:after="120" w:line="360" w:lineRule="auto"/>
        <w:jc w:val="left"/>
      </w:pPr>
      <w:r>
        <w:rPr>
          <w:rFonts w:ascii="Times New Roman" w:hAnsi="Times New Roman" w:eastAsia="Times New Roman"/>
          <w:b/>
          <w:i w:val="0"/>
          <w:color w:val="000000"/>
          <w:sz w:val="26"/>
        </w:rPr>
        <w:t>1.1.1 Strategy Design as a Search Problem</w:t>
      </w:r>
    </w:p>
    <w:p>
      <w:pPr>
        <w:spacing w:after="120" w:before="0" w:line="360" w:lineRule="auto"/>
        <w:ind w:firstLine="720"/>
        <w:jc w:val="both"/>
      </w:pPr>
      <w:r>
        <w:rPr>
          <w:rFonts w:ascii="Times New Roman" w:hAnsi="Times New Roman" w:eastAsia="Times New Roman"/>
          <w:b w:val="0"/>
          <w:i w:val="0"/>
          <w:sz w:val="26"/>
        </w:rPr>
        <w:t>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after="120" w:before="0" w:line="360" w:lineRule="auto"/>
        <w:ind w:firstLine="720"/>
        <w:jc w:val="both"/>
      </w:pPr>
      <w:r>
        <w:rPr>
          <w:rFonts w:ascii="Times New Roman" w:hAnsi="Times New Roman" w:eastAsia="Times New Roman"/>
          <w:b w:val="0"/>
          <w:i w:val="0"/>
          <w:sz w:val="26"/>
        </w:rPr>
        <w:t>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240" w:after="120" w:line="360" w:lineRule="auto"/>
        <w:jc w:val="left"/>
      </w:pPr>
      <w:r>
        <w:rPr>
          <w:rFonts w:ascii="Times New Roman" w:hAnsi="Times New Roman" w:eastAsia="Times New Roman"/>
          <w:b/>
          <w:i w:val="0"/>
          <w:color w:val="000000"/>
          <w:sz w:val="26"/>
        </w:rPr>
        <w:t>1.1.2 From Traditional Analytics to ML in Finance</w:t>
      </w:r>
    </w:p>
    <w:p>
      <w:pPr>
        <w:spacing w:after="120" w:before="0" w:line="360" w:lineRule="auto"/>
        <w:ind w:firstLine="720"/>
        <w:jc w:val="both"/>
      </w:pPr>
      <w:r>
        <w:rPr>
          <w:rFonts w:ascii="Times New Roman" w:hAnsi="Times New Roman" w:eastAsia="Times New Roman"/>
          <w:b w:val="0"/>
          <w:i w:val="0"/>
          <w:sz w:val="26"/>
        </w:rPr>
        <w:t>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240" w:after="120" w:line="360" w:lineRule="auto"/>
        <w:jc w:val="left"/>
      </w:pPr>
      <w:r>
        <w:rPr>
          <w:rFonts w:ascii="Times New Roman" w:hAnsi="Times New Roman" w:eastAsia="Times New Roman"/>
          <w:b/>
          <w:i w:val="0"/>
          <w:color w:val="000000"/>
          <w:sz w:val="26"/>
        </w:rPr>
        <w:t>1.1.3 Conversational Interfaces and the Reliability Problem</w:t>
      </w:r>
    </w:p>
    <w:p>
      <w:pPr>
        <w:spacing w:after="120" w:before="0" w:line="360" w:lineRule="auto"/>
        <w:ind w:firstLine="720"/>
        <w:jc w:val="both"/>
      </w:pPr>
      <w:r>
        <w:rPr>
          <w:rFonts w:ascii="Times New Roman" w:hAnsi="Times New Roman" w:eastAsia="Times New Roman"/>
          <w:b w:val="0"/>
          <w:i w:val="0"/>
          <w:sz w:val="26"/>
        </w:rPr>
        <w:t>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after="120" w:before="0" w:line="360" w:lineRule="auto"/>
        <w:ind w:firstLine="720"/>
        <w:jc w:val="both"/>
      </w:pPr>
      <w:r>
        <w:rPr>
          <w:rFonts w:ascii="Times New Roman" w:hAnsi="Times New Roman" w:eastAsia="Times New Roman"/>
          <w:b w:val="0"/>
          <w:i w:val="0"/>
          <w:sz w:val="26"/>
        </w:rPr>
        <w:t>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after="120" w:before="0" w:line="360" w:lineRule="auto"/>
        <w:ind w:firstLine="720"/>
        <w:jc w:val="both"/>
      </w:pPr>
      <w:r>
        <w:rPr>
          <w:rFonts w:ascii="Times New Roman" w:hAnsi="Times New Roman" w:eastAsia="Times New Roman"/>
          <w:b w:val="0"/>
          <w:i w:val="0"/>
          <w:sz w:val="26"/>
        </w:rPr>
        <w:t>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240" w:after="120" w:line="360" w:lineRule="auto"/>
        <w:jc w:val="left"/>
      </w:pPr>
      <w:r>
        <w:rPr>
          <w:rFonts w:ascii="Times New Roman" w:hAnsi="Times New Roman" w:eastAsia="Times New Roman"/>
          <w:b/>
          <w:i w:val="0"/>
          <w:color w:val="000000"/>
          <w:sz w:val="28"/>
        </w:rPr>
        <w:t>1.2 Context and Practical Setting</w:t>
      </w:r>
    </w:p>
    <w:p>
      <w:pPr>
        <w:spacing w:after="120" w:before="0" w:line="360" w:lineRule="auto"/>
        <w:ind w:firstLine="720"/>
        <w:jc w:val="both"/>
      </w:pPr>
      <w:r>
        <w:rPr>
          <w:rFonts w:ascii="Times New Roman" w:hAnsi="Times New Roman" w:eastAsia="Times New Roman"/>
          <w:b w:val="0"/>
          <w:i w:val="0"/>
          <w:sz w:val="26"/>
        </w:rPr>
        <w:t>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after="120" w:before="0" w:line="360" w:lineRule="auto"/>
        <w:ind w:firstLine="720"/>
        <w:jc w:val="both"/>
      </w:pPr>
      <w:r>
        <w:rPr>
          <w:rFonts w:ascii="Times New Roman" w:hAnsi="Times New Roman" w:eastAsia="Times New Roman"/>
          <w:b w:val="0"/>
          <w:i w:val="0"/>
          <w:sz w:val="26"/>
        </w:rPr>
        <w:t>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after="120" w:before="0" w:line="360" w:lineRule="auto"/>
        <w:ind w:firstLine="720"/>
        <w:jc w:val="both"/>
      </w:pPr>
      <w:r>
        <w:rPr>
          <w:rFonts w:ascii="Times New Roman" w:hAnsi="Times New Roman" w:eastAsia="Times New Roman"/>
          <w:b w:val="0"/>
          <w:i w:val="0"/>
          <w:sz w:val="26"/>
        </w:rPr>
        <w:t>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240" w:after="120" w:line="360" w:lineRule="auto"/>
        <w:jc w:val="left"/>
      </w:pPr>
      <w:r>
        <w:rPr>
          <w:rFonts w:ascii="Times New Roman" w:hAnsi="Times New Roman" w:eastAsia="Times New Roman"/>
          <w:b/>
          <w:i w:val="0"/>
          <w:color w:val="000000"/>
          <w:sz w:val="28"/>
        </w:rPr>
        <w:t>1.3 Problem Statement</w:t>
      </w:r>
    </w:p>
    <w:p>
      <w:pPr>
        <w:spacing w:after="120" w:before="0" w:line="360" w:lineRule="auto"/>
        <w:ind w:firstLine="720"/>
        <w:jc w:val="both"/>
      </w:pPr>
      <w:r>
        <w:rPr>
          <w:rFonts w:ascii="Times New Roman" w:hAnsi="Times New Roman" w:eastAsia="Times New Roman"/>
          <w:b w:val="0"/>
          <w:i w:val="0"/>
          <w:sz w:val="26"/>
        </w:rPr>
        <w:t>This thesis addresses the problem of building and evaluating a reliability-critical quantitative finance platform for Vietnamese equities in which numeric outputs are produced only when their evidentiary basis is verifiable and interpretable.</w:t>
      </w:r>
    </w:p>
    <w:p>
      <w:pPr>
        <w:spacing w:after="120" w:before="0" w:line="360" w:lineRule="auto"/>
        <w:ind w:firstLine="720"/>
        <w:jc w:val="both"/>
      </w:pPr>
      <w:r>
        <w:rPr>
          <w:rFonts w:ascii="Times New Roman" w:hAnsi="Times New Roman" w:eastAsia="Times New Roman"/>
          <w:b w:val="0"/>
          <w:i w:val="0"/>
          <w:sz w:val="26"/>
        </w:rPr>
        <w:t>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after="120" w:before="0" w:line="360" w:lineRule="auto"/>
        <w:ind w:firstLine="720"/>
        <w:jc w:val="both"/>
      </w:pPr>
      <w:r>
        <w:rPr>
          <w:rFonts w:ascii="Times New Roman" w:hAnsi="Times New Roman" w:eastAsia="Times New Roman"/>
          <w:b w:val="0"/>
          <w:i w:val="0"/>
          <w:sz w:val="26"/>
        </w:rPr>
        <w:t>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after="120" w:before="0" w:line="360" w:lineRule="auto"/>
        <w:ind w:firstLine="720"/>
        <w:jc w:val="both"/>
      </w:pPr>
      <w:r>
        <w:rPr>
          <w:rFonts w:ascii="Times New Roman" w:hAnsi="Times New Roman" w:eastAsia="Times New Roman"/>
          <w:b w:val="0"/>
          <w:i w:val="0"/>
          <w:sz w:val="26"/>
        </w:rPr>
        <w:t>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240" w:after="120" w:line="360" w:lineRule="auto"/>
        <w:jc w:val="left"/>
      </w:pPr>
      <w:r>
        <w:rPr>
          <w:rFonts w:ascii="Times New Roman" w:hAnsi="Times New Roman" w:eastAsia="Times New Roman"/>
          <w:b/>
          <w:i w:val="0"/>
          <w:color w:val="000000"/>
          <w:sz w:val="28"/>
        </w:rPr>
        <w:t>1.4 Research Gap and Rationale</w:t>
      </w:r>
    </w:p>
    <w:p>
      <w:pPr>
        <w:spacing w:after="120" w:before="0" w:line="360" w:lineRule="auto"/>
        <w:ind w:firstLine="720"/>
        <w:jc w:val="both"/>
      </w:pPr>
      <w:r>
        <w:rPr>
          <w:rFonts w:ascii="Times New Roman" w:hAnsi="Times New Roman" w:eastAsia="Times New Roman"/>
          <w:b w:val="0"/>
          <w:i w:val="0"/>
          <w:sz w:val="26"/>
        </w:rPr>
        <w:t>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after="120" w:before="0" w:line="360" w:lineRule="auto"/>
        <w:ind w:firstLine="720"/>
        <w:jc w:val="both"/>
      </w:pPr>
      <w:r>
        <w:rPr>
          <w:rFonts w:ascii="Times New Roman" w:hAnsi="Times New Roman" w:eastAsia="Times New Roman"/>
          <w:b w:val="0"/>
          <w:i w:val="0"/>
          <w:sz w:val="26"/>
        </w:rPr>
        <w:t>In a fintech product setting, these observations motivate a design rationale: reliability should be operationalised as explicit gates and measurable criteria that connect system design to evaluation. In this thesis, that means: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Enforcing data readiness constraints before computing outputs.</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Constraining backtesting assumptions (execution timing and frictions) to reduce optimistic bias.</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Implementing a grounded assistant with policy gating and abstention that can be evaluated with reproducible scripts.</w:t>
      </w:r>
    </w:p>
    <w:p>
      <w:pPr>
        <w:spacing w:after="120" w:before="0" w:line="360" w:lineRule="auto"/>
        <w:ind w:firstLine="720"/>
        <w:jc w:val="both"/>
      </w:pPr>
      <w:r>
        <w:rPr>
          <w:rFonts w:ascii="Times New Roman" w:hAnsi="Times New Roman" w:eastAsia="Times New Roman"/>
          <w:b w:val="0"/>
          <w:i w:val="0"/>
          <w:sz w:val="26"/>
        </w:rPr>
        <w:t>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240" w:after="120" w:line="360" w:lineRule="auto"/>
        <w:jc w:val="left"/>
      </w:pPr>
      <w:r>
        <w:rPr>
          <w:rFonts w:ascii="Times New Roman" w:hAnsi="Times New Roman" w:eastAsia="Times New Roman"/>
          <w:b/>
          <w:i w:val="0"/>
          <w:color w:val="000000"/>
          <w:sz w:val="28"/>
        </w:rPr>
        <w:t>1.5 Research Objectives</w:t>
      </w:r>
    </w:p>
    <w:p>
      <w:pPr>
        <w:spacing w:after="120" w:before="0" w:line="360" w:lineRule="auto"/>
        <w:ind w:firstLine="720"/>
        <w:jc w:val="both"/>
      </w:pPr>
      <w:r>
        <w:rPr>
          <w:rFonts w:ascii="Times New Roman" w:hAnsi="Times New Roman" w:eastAsia="Times New Roman"/>
          <w:b w:val="0"/>
          <w:i w:val="0"/>
          <w:sz w:val="26"/>
        </w:rPr>
        <w:t>The thesis pursues four objectives aligned with the product problem in Section 1.3.</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Design and implement a web-based quantitative analysis system for Vietnamese equities that consolidates core workflows into a coherent product.</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Operationalise data reliability as a runtime contract through validation, integrity manifests, and quality diagnostics so that exclusions and limitations are observable rather than implicit.</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Implement an assistant interface that routes user intent through deterministic internal tools and applies evidence-gated policies for numeric outputs, including conservative abstention when evidence is insufficient.</w:t>
      </w:r>
    </w:p>
    <w:p>
      <w:pPr>
        <w:spacing w:after="60" w:before="0" w:line="360" w:lineRule="auto"/>
        <w:ind w:left="720"/>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Define and apply reproducible evaluation procedures and measurable acceptance criteria so that reliability improvements can be quantified and regressions can be detected under iterative development.</w:t>
      </w:r>
    </w:p>
    <w:p>
      <w:pPr>
        <w:spacing w:before="240" w:after="120" w:line="360" w:lineRule="auto"/>
        <w:jc w:val="left"/>
      </w:pPr>
      <w:r>
        <w:rPr>
          <w:rFonts w:ascii="Times New Roman" w:hAnsi="Times New Roman" w:eastAsia="Times New Roman"/>
          <w:b/>
          <w:i w:val="0"/>
          <w:color w:val="000000"/>
          <w:sz w:val="28"/>
        </w:rPr>
        <w:t>1.6 Research Questions</w:t>
      </w:r>
    </w:p>
    <w:p>
      <w:pPr>
        <w:spacing w:after="120" w:before="0" w:line="360" w:lineRule="auto"/>
        <w:ind w:firstLine="720"/>
        <w:jc w:val="both"/>
      </w:pPr>
      <w:r>
        <w:rPr>
          <w:rFonts w:ascii="Times New Roman" w:hAnsi="Times New Roman" w:eastAsia="Times New Roman"/>
          <w:b w:val="0"/>
          <w:i w:val="0"/>
          <w:sz w:val="26"/>
        </w:rPr>
        <w:t>This thesis is organised around five research questions.</w:t>
      </w:r>
    </w:p>
    <w:p>
      <w:pPr>
        <w:spacing w:after="120" w:before="0" w:line="360" w:lineRule="auto"/>
        <w:ind w:firstLine="720"/>
        <w:jc w:val="both"/>
      </w:pPr>
      <w:r>
        <w:rPr>
          <w:rFonts w:ascii="Times New Roman" w:hAnsi="Times New Roman" w:eastAsia="Times New Roman"/>
          <w:b w:val="0"/>
          <w:i w:val="0"/>
          <w:sz w:val="26"/>
        </w:rPr>
        <w:t>RQ1 (Data reliability). How can a local market-data pipeline and runtime validation layer reduce instability in downstream quantitative analytics that depend on aligned time series and robust estimators?</w:t>
      </w:r>
    </w:p>
    <w:p>
      <w:pPr>
        <w:spacing w:after="120" w:before="0" w:line="360" w:lineRule="auto"/>
        <w:ind w:firstLine="720"/>
        <w:jc w:val="both"/>
      </w:pPr>
      <w:r>
        <w:rPr>
          <w:rFonts w:ascii="Times New Roman" w:hAnsi="Times New Roman" w:eastAsia="Times New Roman"/>
          <w:b w:val="0"/>
          <w:i w:val="0"/>
          <w:sz w:val="26"/>
        </w:rPr>
        <w:t>RQ2 (Diagnostics and transparency). Which diagnostics and exclusion policies best communicate data readiness and limitations to end users while preserving analytical usefulness?</w:t>
      </w:r>
    </w:p>
    <w:p>
      <w:pPr>
        <w:spacing w:after="120" w:before="0" w:line="360" w:lineRule="auto"/>
        <w:ind w:firstLine="720"/>
        <w:jc w:val="both"/>
      </w:pPr>
      <w:r>
        <w:rPr>
          <w:rFonts w:ascii="Times New Roman" w:hAnsi="Times New Roman" w:eastAsia="Times New Roman"/>
          <w:b w:val="0"/>
          <w:i w:val="0"/>
          <w:sz w:val="26"/>
        </w:rPr>
        <w:t>RQ3 (Grounded assistant). To what extent does a tool-grounded assistant pipeline with policy gating reduce unsupported numeric claims compared to unguided generation, as motivated by truthfulness and claim-level evaluation work (Lin et al., 2022; Min et al., 2023)?</w:t>
      </w:r>
    </w:p>
    <w:p>
      <w:pPr>
        <w:spacing w:after="120" w:before="0" w:line="360" w:lineRule="auto"/>
        <w:ind w:firstLine="720"/>
        <w:jc w:val="both"/>
      </w:pPr>
      <w:r>
        <w:rPr>
          <w:rFonts w:ascii="Times New Roman" w:hAnsi="Times New Roman" w:eastAsia="Times New Roman"/>
          <w:b w:val="0"/>
          <w:i w:val="0"/>
          <w:sz w:val="26"/>
        </w:rPr>
        <w:t>RQ4 (Abstention vs coverage). What trade-off emerges between strict abstention policies (refusing low-evidence answers) and response coverage, and how does this trade-off affect perceived trustworthiness (Rajpurkar et al., 2018)?</w:t>
      </w:r>
    </w:p>
    <w:p>
      <w:pPr>
        <w:spacing w:after="120" w:before="0" w:line="360" w:lineRule="auto"/>
        <w:ind w:firstLine="720"/>
        <w:jc w:val="both"/>
      </w:pPr>
      <w:r>
        <w:rPr>
          <w:rFonts w:ascii="Times New Roman" w:hAnsi="Times New Roman" w:eastAsia="Times New Roman"/>
          <w:b w:val="0"/>
          <w:i w:val="0"/>
          <w:sz w:val="26"/>
        </w:rPr>
        <w:t>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240" w:after="120" w:line="360" w:lineRule="auto"/>
        <w:jc w:val="left"/>
      </w:pPr>
      <w:r>
        <w:rPr>
          <w:rFonts w:ascii="Times New Roman" w:hAnsi="Times New Roman" w:eastAsia="Times New Roman"/>
          <w:b/>
          <w:i w:val="0"/>
          <w:color w:val="000000"/>
          <w:sz w:val="26"/>
        </w:rPr>
        <w:t>1.6.1 Research Hypotheses</w:t>
      </w:r>
    </w:p>
    <w:p>
      <w:pPr>
        <w:spacing w:after="120" w:before="0" w:line="360" w:lineRule="auto"/>
        <w:ind w:firstLine="720"/>
        <w:jc w:val="both"/>
      </w:pPr>
      <w:r>
        <w:rPr>
          <w:rFonts w:ascii="Times New Roman" w:hAnsi="Times New Roman" w:eastAsia="Times New Roman"/>
          <w:b w:val="0"/>
          <w:i w:val="0"/>
          <w:sz w:val="26"/>
        </w:rPr>
        <w:t>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after="120" w:before="0" w:line="360" w:lineRule="auto"/>
        <w:ind w:firstLine="720"/>
        <w:jc w:val="both"/>
      </w:pPr>
      <w:r>
        <w:rPr>
          <w:rFonts w:ascii="Times New Roman" w:hAnsi="Times New Roman" w:eastAsia="Times New Roman"/>
          <w:b w:val="0"/>
          <w:i w:val="0"/>
          <w:sz w:val="26"/>
        </w:rPr>
        <w:t>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after="120" w:before="0" w:line="360" w:lineRule="auto"/>
        <w:ind w:firstLine="720"/>
        <w:jc w:val="both"/>
      </w:pPr>
      <w:r>
        <w:rPr>
          <w:rFonts w:ascii="Times New Roman" w:hAnsi="Times New Roman" w:eastAsia="Times New Roman"/>
          <w:b w:val="0"/>
          <w:i w:val="0"/>
          <w:sz w:val="26"/>
        </w:rPr>
        <w:t>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after="120" w:before="0" w:line="360" w:lineRule="auto"/>
        <w:ind w:firstLine="720"/>
        <w:jc w:val="both"/>
      </w:pPr>
      <w:r>
        <w:rPr>
          <w:rFonts w:ascii="Times New Roman" w:hAnsi="Times New Roman" w:eastAsia="Times New Roman"/>
          <w:b w:val="0"/>
          <w:i w:val="0"/>
          <w:sz w:val="26"/>
        </w:rPr>
        <w:t xml:space="preserve">H3 (Grounded assistant). A tool-grounded assistant pipeline with policy gating will reduce the rate of unsupported numeric claims relative to unguided generation or non-enforced modes, as measured by </w:t>
      </w:r>
      <w:r>
        <w:rPr>
          <w:rFonts w:ascii="Times New Roman" w:hAnsi="Times New Roman" w:eastAsia="Times New Roman"/>
          <w:b w:val="0"/>
          <w:i w:val="0"/>
          <w:sz w:val="26"/>
        </w:rPr>
        <w:t>unsupportedClaimRate</w:t>
      </w:r>
      <w:r>
        <w:rPr>
          <w:rFonts w:ascii="Times New Roman" w:hAnsi="Times New Roman" w:eastAsia="Times New Roman"/>
          <w:b w:val="0"/>
          <w:i w:val="0"/>
          <w:sz w:val="26"/>
        </w:rPr>
        <w:t xml:space="preserve"> and claim-level precision metrics derived from grounded evidence checks (Lewis et al., 2020; Lin et al., 2022; Min et al., 2023). Evidence will be collected by running the assistant evaluation suites under comparable prompts and configurations (Gate E).</w:t>
      </w:r>
    </w:p>
    <w:p>
      <w:pPr>
        <w:spacing w:after="120" w:before="0" w:line="360" w:lineRule="auto"/>
        <w:ind w:firstLine="720"/>
        <w:jc w:val="both"/>
      </w:pPr>
      <w:r>
        <w:rPr>
          <w:rFonts w:ascii="Times New Roman" w:hAnsi="Times New Roman" w:eastAsia="Times New Roman"/>
          <w:b w:val="0"/>
          <w:i w:val="0"/>
          <w:sz w:val="26"/>
        </w:rPr>
        <w:t>H4 (Abstention vs coverage). Stricter enforcement of evidence sufficiency (policy modes that block under-evidenced numeric outputs) will increase abstention correctness (</w:t>
      </w:r>
      <w:r>
        <w:rPr>
          <w:rFonts w:ascii="Times New Roman" w:hAnsi="Times New Roman" w:eastAsia="Times New Roman"/>
          <w:b w:val="0"/>
          <w:i w:val="0"/>
          <w:sz w:val="26"/>
        </w:rPr>
        <w:t>abstentionAccuracy</w:t>
      </w:r>
      <w:r>
        <w:rPr>
          <w:rFonts w:ascii="Times New Roman" w:hAnsi="Times New Roman" w:eastAsia="Times New Roman"/>
          <w:b w:val="0"/>
          <w:i w:val="0"/>
          <w:sz w:val="26"/>
        </w:rPr>
        <w:t>)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after="120" w:before="0" w:line="360" w:lineRule="auto"/>
        <w:ind w:firstLine="720"/>
        <w:jc w:val="both"/>
      </w:pPr>
      <w:r>
        <w:rPr>
          <w:rFonts w:ascii="Times New Roman" w:hAnsi="Times New Roman" w:eastAsia="Times New Roman"/>
          <w:b w:val="0"/>
          <w:i w:val="0"/>
          <w:sz w:val="26"/>
        </w:rPr>
        <w:t>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240" w:after="120" w:line="360" w:lineRule="auto"/>
        <w:jc w:val="left"/>
      </w:pPr>
      <w:r>
        <w:rPr>
          <w:rFonts w:ascii="Times New Roman" w:hAnsi="Times New Roman" w:eastAsia="Times New Roman"/>
          <w:b/>
          <w:i w:val="0"/>
          <w:color w:val="000000"/>
          <w:sz w:val="28"/>
        </w:rPr>
        <w:t>1.7 Methodological Overview</w:t>
      </w:r>
    </w:p>
    <w:p>
      <w:pPr>
        <w:spacing w:after="120" w:before="0" w:line="360" w:lineRule="auto"/>
        <w:ind w:firstLine="720"/>
        <w:jc w:val="both"/>
      </w:pPr>
      <w:r>
        <w:rPr>
          <w:rFonts w:ascii="Times New Roman" w:hAnsi="Times New Roman" w:eastAsia="Times New Roman"/>
          <w:b w:val="0"/>
          <w:i w:val="0"/>
          <w:sz w:val="26"/>
        </w:rPr>
        <w:t>This thesis follows an applied engineering-research methodology in which system behaviour is made measurable through explicit evaluation criteria.</w:t>
      </w:r>
    </w:p>
    <w:p>
      <w:pPr>
        <w:spacing w:after="120" w:before="0" w:line="360" w:lineRule="auto"/>
        <w:ind w:firstLine="720"/>
        <w:jc w:val="both"/>
      </w:pPr>
      <w:r>
        <w:rPr>
          <w:rFonts w:ascii="Times New Roman" w:hAnsi="Times New Roman" w:eastAsia="Times New Roman"/>
          <w:b w:val="0"/>
          <w:i w:val="0"/>
          <w:sz w:val="26"/>
        </w:rPr>
        <w:t>The methodology is structured to test the hypotheses in Section 1.6.1 through reproducible gates and artifacts rather than through one-off demonstrations.</w:t>
      </w:r>
    </w:p>
    <w:p>
      <w:pPr>
        <w:spacing w:after="120" w:before="0" w:line="360" w:lineRule="auto"/>
        <w:ind w:firstLine="720"/>
        <w:jc w:val="both"/>
      </w:pPr>
      <w:r>
        <w:rPr>
          <w:rFonts w:ascii="Times New Roman" w:hAnsi="Times New Roman" w:eastAsia="Times New Roman"/>
          <w:b w:val="0"/>
          <w:i w:val="0"/>
          <w:sz w:val="26"/>
        </w:rPr>
        <w:t>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after="120" w:before="0" w:line="360" w:lineRule="auto"/>
        <w:ind w:firstLine="720"/>
        <w:jc w:val="both"/>
      </w:pPr>
      <w:r>
        <w:rPr>
          <w:rFonts w:ascii="Times New Roman" w:hAnsi="Times New Roman" w:eastAsia="Times New Roman"/>
          <w:b w:val="0"/>
          <w:i w:val="0"/>
          <w:sz w:val="26"/>
        </w:rPr>
        <w:t>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240" w:after="120" w:line="360" w:lineRule="auto"/>
        <w:jc w:val="left"/>
      </w:pPr>
      <w:r>
        <w:rPr>
          <w:rFonts w:ascii="Times New Roman" w:hAnsi="Times New Roman" w:eastAsia="Times New Roman"/>
          <w:b/>
          <w:i w:val="0"/>
          <w:color w:val="000000"/>
          <w:sz w:val="28"/>
        </w:rPr>
        <w:t>1.8 Scope and Assumptions</w:t>
      </w:r>
    </w:p>
    <w:p>
      <w:pPr>
        <w:spacing w:after="120" w:before="0" w:line="360" w:lineRule="auto"/>
        <w:ind w:firstLine="720"/>
        <w:jc w:val="both"/>
      </w:pPr>
      <w:r>
        <w:rPr>
          <w:rFonts w:ascii="Times New Roman" w:hAnsi="Times New Roman" w:eastAsia="Times New Roman"/>
          <w:b w:val="0"/>
          <w:i w:val="0"/>
          <w:sz w:val="26"/>
        </w:rPr>
        <w:t>The scope of the system is HOSE-focused Vietnamese equity analysis at daily frequency using prepared local datasets and a manifest-governed runtime data contract.</w:t>
      </w:r>
    </w:p>
    <w:p>
      <w:pPr>
        <w:spacing w:after="120" w:before="0" w:line="360" w:lineRule="auto"/>
        <w:ind w:firstLine="720"/>
        <w:jc w:val="both"/>
      </w:pPr>
      <w:r>
        <w:rPr>
          <w:rFonts w:ascii="Times New Roman" w:hAnsi="Times New Roman" w:eastAsia="Times New Roman"/>
          <w:b w:val="0"/>
          <w:i w:val="0"/>
          <w:sz w:val="26"/>
        </w:rPr>
        <w:t>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after="120" w:before="0" w:line="360" w:lineRule="auto"/>
        <w:ind w:firstLine="720"/>
        <w:jc w:val="both"/>
      </w:pPr>
      <w:r>
        <w:rPr>
          <w:rFonts w:ascii="Times New Roman" w:hAnsi="Times New Roman" w:eastAsia="Times New Roman"/>
          <w:b w:val="0"/>
          <w:i w:val="0"/>
          <w:sz w:val="26"/>
        </w:rPr>
        <w:t>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240" w:after="120" w:line="360" w:lineRule="auto"/>
        <w:jc w:val="left"/>
      </w:pPr>
      <w:r>
        <w:rPr>
          <w:rFonts w:ascii="Times New Roman" w:hAnsi="Times New Roman" w:eastAsia="Times New Roman"/>
          <w:b/>
          <w:i w:val="0"/>
          <w:color w:val="000000"/>
          <w:sz w:val="28"/>
        </w:rPr>
        <w:t>1.9 Contributions</w:t>
      </w:r>
    </w:p>
    <w:p>
      <w:pPr>
        <w:spacing w:after="120" w:before="0" w:line="360" w:lineRule="auto"/>
        <w:ind w:firstLine="720"/>
        <w:jc w:val="both"/>
      </w:pPr>
      <w:r>
        <w:rPr>
          <w:rFonts w:ascii="Times New Roman" w:hAnsi="Times New Roman" w:eastAsia="Times New Roman"/>
          <w:b w:val="0"/>
          <w:i w:val="0"/>
          <w:sz w:val="26"/>
        </w:rPr>
        <w:t>This thesis makes three contributions.</w:t>
      </w:r>
    </w:p>
    <w:p>
      <w:pPr>
        <w:spacing w:after="120" w:before="0" w:line="360" w:lineRule="auto"/>
        <w:ind w:firstLine="720"/>
        <w:jc w:val="both"/>
      </w:pPr>
      <w:r>
        <w:rPr>
          <w:rFonts w:ascii="Times New Roman" w:hAnsi="Times New Roman" w:eastAsia="Times New Roman"/>
          <w:b w:val="0"/>
          <w:i w:val="0"/>
          <w:sz w:val="26"/>
        </w:rPr>
        <w:t>First, it provides a data reliability approach for local Vietnamese equity datasets, emphasising validation of records, integrity manifests, and runtime quality reporting that can explain missing coverage and exclusion reasons.</w:t>
      </w:r>
    </w:p>
    <w:p>
      <w:pPr>
        <w:spacing w:after="120" w:before="0" w:line="360" w:lineRule="auto"/>
        <w:ind w:firstLine="720"/>
        <w:jc w:val="both"/>
      </w:pPr>
      <w:r>
        <w:rPr>
          <w:rFonts w:ascii="Times New Roman" w:hAnsi="Times New Roman" w:eastAsia="Times New Roman"/>
          <w:b w:val="0"/>
          <w:i w:val="0"/>
          <w:sz w:val="26"/>
        </w:rPr>
        <w:t>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after="120" w:before="0" w:line="360" w:lineRule="auto"/>
        <w:ind w:firstLine="720"/>
        <w:jc w:val="both"/>
      </w:pPr>
      <w:r>
        <w:rPr>
          <w:rFonts w:ascii="Times New Roman" w:hAnsi="Times New Roman" w:eastAsia="Times New Roman"/>
          <w:b w:val="0"/>
          <w:i w:val="0"/>
          <w:sz w:val="26"/>
        </w:rPr>
        <w:t>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after="120" w:before="0" w:line="360" w:lineRule="auto"/>
        <w:ind w:firstLine="720"/>
        <w:jc w:val="both"/>
      </w:pPr>
      <w:r>
        <w:rPr>
          <w:rFonts w:ascii="Times New Roman" w:hAnsi="Times New Roman" w:eastAsia="Times New Roman"/>
          <w:b w:val="0"/>
          <w:i w:val="0"/>
          <w:sz w:val="26"/>
        </w:rPr>
        <w:t>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240" w:after="120" w:line="360" w:lineRule="auto"/>
        <w:jc w:val="left"/>
      </w:pPr>
      <w:r>
        <w:rPr>
          <w:rFonts w:ascii="Times New Roman" w:hAnsi="Times New Roman" w:eastAsia="Times New Roman"/>
          <w:b/>
          <w:i w:val="0"/>
          <w:color w:val="000000"/>
          <w:sz w:val="28"/>
        </w:rPr>
        <w:t>1.10 Evaluation Perspective (Why Reliability is Measurable)</w:t>
      </w:r>
    </w:p>
    <w:p>
      <w:pPr>
        <w:spacing w:after="120" w:before="0" w:line="360" w:lineRule="auto"/>
        <w:ind w:firstLine="720"/>
        <w:jc w:val="both"/>
      </w:pPr>
      <w:r>
        <w:rPr>
          <w:rFonts w:ascii="Times New Roman" w:hAnsi="Times New Roman" w:eastAsia="Times New Roman"/>
          <w:b w:val="0"/>
          <w:i w:val="0"/>
          <w:sz w:val="26"/>
        </w:rPr>
        <w:t>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after="120" w:before="0" w:line="360" w:lineRule="auto"/>
        <w:ind w:firstLine="720"/>
        <w:jc w:val="both"/>
      </w:pPr>
      <w:r>
        <w:rPr>
          <w:rFonts w:ascii="Times New Roman" w:hAnsi="Times New Roman" w:eastAsia="Times New Roman"/>
          <w:b w:val="0"/>
          <w:i w:val="0"/>
          <w:sz w:val="26"/>
        </w:rPr>
        <w:t>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240" w:after="120" w:line="360" w:lineRule="auto"/>
        <w:jc w:val="left"/>
      </w:pPr>
      <w:r>
        <w:rPr>
          <w:rFonts w:ascii="Times New Roman" w:hAnsi="Times New Roman" w:eastAsia="Times New Roman"/>
          <w:b/>
          <w:i w:val="0"/>
          <w:color w:val="000000"/>
          <w:sz w:val="28"/>
        </w:rPr>
        <w:t>1.11 Practical Significance</w:t>
      </w:r>
    </w:p>
    <w:p>
      <w:pPr>
        <w:spacing w:after="120" w:before="0" w:line="360" w:lineRule="auto"/>
        <w:ind w:firstLine="720"/>
        <w:jc w:val="both"/>
      </w:pPr>
      <w:r>
        <w:rPr>
          <w:rFonts w:ascii="Times New Roman" w:hAnsi="Times New Roman" w:eastAsia="Times New Roman"/>
          <w:b w:val="0"/>
          <w:i w:val="0"/>
          <w:sz w:val="26"/>
        </w:rPr>
        <w:t>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after="120" w:before="0" w:line="360" w:lineRule="auto"/>
        <w:ind w:firstLine="720"/>
        <w:jc w:val="both"/>
      </w:pPr>
      <w:r>
        <w:rPr>
          <w:rFonts w:ascii="Times New Roman" w:hAnsi="Times New Roman" w:eastAsia="Times New Roman"/>
          <w:b w:val="0"/>
          <w:i w:val="0"/>
          <w:sz w:val="26"/>
        </w:rPr>
        <w:t>If successful, the product can serve as a template for how AI assistants may be integrated into numerically dense decision-support systems: evidence-first, policy-gated, and evaluated by reproducible metrics rather than subjective impressions.</w:t>
      </w:r>
    </w:p>
    <w:p>
      <w:pPr>
        <w:spacing w:before="240" w:after="120" w:line="360" w:lineRule="auto"/>
        <w:jc w:val="left"/>
      </w:pPr>
      <w:r>
        <w:rPr>
          <w:rFonts w:ascii="Times New Roman" w:hAnsi="Times New Roman" w:eastAsia="Times New Roman"/>
          <w:b/>
          <w:i w:val="0"/>
          <w:color w:val="000000"/>
          <w:sz w:val="28"/>
        </w:rPr>
        <w:t>1.12 Thesis Structure</w:t>
      </w:r>
    </w:p>
    <w:p>
      <w:pPr>
        <w:spacing w:after="120" w:before="0" w:line="360" w:lineRule="auto"/>
        <w:ind w:firstLine="720"/>
        <w:jc w:val="both"/>
      </w:pPr>
      <w:r>
        <w:rPr>
          <w:rFonts w:ascii="Times New Roman" w:hAnsi="Times New Roman" w:eastAsia="Times New Roman"/>
          <w:b w:val="0"/>
          <w:i w:val="0"/>
          <w:sz w:val="26"/>
        </w:rPr>
        <w:t>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r>
        <w:br w:type="page"/>
      </w:r>
    </w:p>
    <w:p>
      <w:pPr>
        <w:spacing w:before="360" w:after="120" w:line="360" w:lineRule="auto"/>
        <w:jc w:val="left"/>
      </w:pPr>
      <w:r>
        <w:rPr>
          <w:rFonts w:ascii="Times New Roman" w:hAnsi="Times New Roman" w:eastAsia="Times New Roman"/>
          <w:b/>
          <w:i w:val="0"/>
          <w:color w:val="000000"/>
          <w:sz w:val="32"/>
        </w:rPr>
        <w:t>Chapter 2: Literature Review and Theoretical Background</w:t>
      </w:r>
    </w:p>
    <w:p>
      <w:pPr>
        <w:spacing w:after="120" w:before="0" w:line="360" w:lineRule="auto"/>
        <w:ind w:firstLine="720"/>
        <w:jc w:val="both"/>
      </w:pPr>
      <w:r>
        <w:rPr>
          <w:rFonts w:ascii="Times New Roman" w:hAnsi="Times New Roman" w:eastAsia="Times New Roman"/>
          <w:b w:val="0"/>
          <w:i w:val="0"/>
          <w:sz w:val="26"/>
        </w:rPr>
        <w:t>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after="120" w:before="0" w:line="360" w:lineRule="auto"/>
        <w:ind w:firstLine="720"/>
        <w:jc w:val="both"/>
      </w:pPr>
      <w:r>
        <w:rPr>
          <w:rFonts w:ascii="Times New Roman" w:hAnsi="Times New Roman" w:eastAsia="Times New Roman"/>
          <w:b w:val="0"/>
          <w:i w:val="0"/>
          <w:sz w:val="26"/>
        </w:rPr>
        <w:t>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240" w:after="120" w:line="360" w:lineRule="auto"/>
        <w:jc w:val="left"/>
      </w:pPr>
      <w:r>
        <w:rPr>
          <w:rFonts w:ascii="Times New Roman" w:hAnsi="Times New Roman" w:eastAsia="Times New Roman"/>
          <w:b/>
          <w:i w:val="0"/>
          <w:color w:val="000000"/>
          <w:sz w:val="28"/>
        </w:rPr>
        <w:t>2.1 Portfolio Theory and the Meaning of Risk-Return Trade-Offs</w:t>
      </w:r>
    </w:p>
    <w:p>
      <w:pPr>
        <w:spacing w:after="120" w:before="0" w:line="360" w:lineRule="auto"/>
        <w:ind w:firstLine="720"/>
        <w:jc w:val="both"/>
      </w:pPr>
      <w:r>
        <w:rPr>
          <w:rFonts w:ascii="Times New Roman" w:hAnsi="Times New Roman" w:eastAsia="Times New Roman"/>
          <w:b w:val="0"/>
          <w:i w:val="0"/>
          <w:sz w:val="26"/>
        </w:rPr>
        <w:t>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240" w:after="120" w:line="360" w:lineRule="auto"/>
        <w:jc w:val="left"/>
      </w:pPr>
      <w:r>
        <w:rPr>
          <w:rFonts w:ascii="Times New Roman" w:hAnsi="Times New Roman" w:eastAsia="Times New Roman"/>
          <w:b/>
          <w:i w:val="0"/>
          <w:color w:val="000000"/>
          <w:sz w:val="26"/>
        </w:rPr>
        <w:t>2.1.1 Estimation as a System Constraint</w:t>
      </w:r>
    </w:p>
    <w:p>
      <w:pPr>
        <w:spacing w:after="120" w:before="0" w:line="360" w:lineRule="auto"/>
        <w:ind w:firstLine="720"/>
        <w:jc w:val="both"/>
      </w:pPr>
      <w:r>
        <w:rPr>
          <w:rFonts w:ascii="Times New Roman" w:hAnsi="Times New Roman" w:eastAsia="Times New Roman"/>
          <w:b w:val="0"/>
          <w:i w:val="0"/>
          <w:sz w:val="26"/>
        </w:rPr>
        <w:t>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240" w:after="120" w:line="360" w:lineRule="auto"/>
        <w:jc w:val="left"/>
      </w:pPr>
      <w:r>
        <w:rPr>
          <w:rFonts w:ascii="Times New Roman" w:hAnsi="Times New Roman" w:eastAsia="Times New Roman"/>
          <w:b/>
          <w:i w:val="0"/>
          <w:color w:val="000000"/>
          <w:sz w:val="26"/>
        </w:rPr>
        <w:t>2.1.2 Portfolio Outputs as Conditional Evidence</w:t>
      </w:r>
    </w:p>
    <w:p>
      <w:pPr>
        <w:spacing w:after="120" w:before="0" w:line="360" w:lineRule="auto"/>
        <w:ind w:firstLine="720"/>
        <w:jc w:val="both"/>
      </w:pPr>
      <w:r>
        <w:rPr>
          <w:rFonts w:ascii="Times New Roman" w:hAnsi="Times New Roman" w:eastAsia="Times New Roman"/>
          <w:b w:val="0"/>
          <w:i w:val="0"/>
          <w:sz w:val="26"/>
        </w:rPr>
        <w:t>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240" w:after="120" w:line="360" w:lineRule="auto"/>
        <w:jc w:val="left"/>
      </w:pPr>
      <w:r>
        <w:rPr>
          <w:rFonts w:ascii="Times New Roman" w:hAnsi="Times New Roman" w:eastAsia="Times New Roman"/>
          <w:b/>
          <w:i w:val="0"/>
          <w:color w:val="000000"/>
          <w:sz w:val="28"/>
        </w:rPr>
        <w:t>2.2 Equilibrium Pricing and Benchmark-Relative Evaluation</w:t>
      </w:r>
    </w:p>
    <w:p>
      <w:pPr>
        <w:spacing w:after="120" w:before="0" w:line="360" w:lineRule="auto"/>
        <w:ind w:firstLine="720"/>
        <w:jc w:val="both"/>
      </w:pPr>
      <w:r>
        <w:rPr>
          <w:rFonts w:ascii="Times New Roman" w:hAnsi="Times New Roman" w:eastAsia="Times New Roman"/>
          <w:b w:val="0"/>
          <w:i w:val="0"/>
          <w:sz w:val="26"/>
        </w:rPr>
        <w:t>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240" w:after="120" w:line="360" w:lineRule="auto"/>
        <w:jc w:val="left"/>
      </w:pPr>
      <w:r>
        <w:rPr>
          <w:rFonts w:ascii="Times New Roman" w:hAnsi="Times New Roman" w:eastAsia="Times New Roman"/>
          <w:b/>
          <w:i w:val="0"/>
          <w:color w:val="000000"/>
          <w:sz w:val="26"/>
        </w:rPr>
        <w:t>2.2.1 Performance Measurement and the Need for Comparable Samples</w:t>
      </w:r>
    </w:p>
    <w:p>
      <w:pPr>
        <w:spacing w:after="120" w:before="0" w:line="360" w:lineRule="auto"/>
        <w:ind w:firstLine="720"/>
        <w:jc w:val="both"/>
      </w:pPr>
      <w:r>
        <w:rPr>
          <w:rFonts w:ascii="Times New Roman" w:hAnsi="Times New Roman" w:eastAsia="Times New Roman"/>
          <w:b w:val="0"/>
          <w:i w:val="0"/>
          <w:sz w:val="26"/>
        </w:rPr>
        <w:t>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240" w:after="120" w:line="360" w:lineRule="auto"/>
        <w:jc w:val="left"/>
      </w:pPr>
      <w:r>
        <w:rPr>
          <w:rFonts w:ascii="Times New Roman" w:hAnsi="Times New Roman" w:eastAsia="Times New Roman"/>
          <w:b/>
          <w:i w:val="0"/>
          <w:color w:val="000000"/>
          <w:sz w:val="26"/>
        </w:rPr>
        <w:t>2.2.2 System Implication: Alignment and Traceability</w:t>
      </w:r>
    </w:p>
    <w:p>
      <w:pPr>
        <w:spacing w:after="120" w:before="0" w:line="360" w:lineRule="auto"/>
        <w:ind w:firstLine="720"/>
        <w:jc w:val="both"/>
      </w:pPr>
      <w:r>
        <w:rPr>
          <w:rFonts w:ascii="Times New Roman" w:hAnsi="Times New Roman" w:eastAsia="Times New Roman"/>
          <w:b w:val="0"/>
          <w:i w:val="0"/>
          <w:sz w:val="26"/>
        </w:rPr>
        <w:t>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240" w:after="120" w:line="360" w:lineRule="auto"/>
        <w:jc w:val="left"/>
      </w:pPr>
      <w:r>
        <w:rPr>
          <w:rFonts w:ascii="Times New Roman" w:hAnsi="Times New Roman" w:eastAsia="Times New Roman"/>
          <w:b/>
          <w:i w:val="0"/>
          <w:color w:val="000000"/>
          <w:sz w:val="28"/>
        </w:rPr>
        <w:t>2.3 Market Efficiency and the Epistemology of Signals</w:t>
      </w:r>
    </w:p>
    <w:p>
      <w:pPr>
        <w:spacing w:after="120" w:before="0" w:line="360" w:lineRule="auto"/>
        <w:ind w:firstLine="720"/>
        <w:jc w:val="both"/>
      </w:pPr>
      <w:r>
        <w:rPr>
          <w:rFonts w:ascii="Times New Roman" w:hAnsi="Times New Roman" w:eastAsia="Times New Roman"/>
          <w:b w:val="0"/>
          <w:i w:val="0"/>
          <w:sz w:val="26"/>
        </w:rPr>
        <w:t>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after="120" w:before="0" w:line="360" w:lineRule="auto"/>
        <w:ind w:firstLine="720"/>
        <w:jc w:val="both"/>
      </w:pPr>
      <w:r>
        <w:rPr>
          <w:rFonts w:ascii="Times New Roman" w:hAnsi="Times New Roman" w:eastAsia="Times New Roman"/>
          <w:b w:val="0"/>
          <w:i w:val="0"/>
          <w:sz w:val="26"/>
        </w:rPr>
        <w:t>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240" w:after="120" w:line="360" w:lineRule="auto"/>
        <w:jc w:val="left"/>
      </w:pPr>
      <w:r>
        <w:rPr>
          <w:rFonts w:ascii="Times New Roman" w:hAnsi="Times New Roman" w:eastAsia="Times New Roman"/>
          <w:b/>
          <w:i w:val="0"/>
          <w:color w:val="000000"/>
          <w:sz w:val="28"/>
        </w:rPr>
        <w:t>2.4 Empirical Factors and Cross-Sectional Structure</w:t>
      </w:r>
    </w:p>
    <w:p>
      <w:pPr>
        <w:spacing w:after="120" w:before="0" w:line="360" w:lineRule="auto"/>
        <w:ind w:firstLine="720"/>
        <w:jc w:val="both"/>
      </w:pPr>
      <w:r>
        <w:rPr>
          <w:rFonts w:ascii="Times New Roman" w:hAnsi="Times New Roman" w:eastAsia="Times New Roman"/>
          <w:b w:val="0"/>
          <w:i w:val="0"/>
          <w:sz w:val="26"/>
        </w:rPr>
        <w:t>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240" w:after="120" w:line="360" w:lineRule="auto"/>
        <w:jc w:val="left"/>
      </w:pPr>
      <w:r>
        <w:rPr>
          <w:rFonts w:ascii="Times New Roman" w:hAnsi="Times New Roman" w:eastAsia="Times New Roman"/>
          <w:b/>
          <w:i w:val="0"/>
          <w:color w:val="000000"/>
          <w:sz w:val="26"/>
        </w:rPr>
        <w:t>2.4.1 Factors as a Design Requirement, Not a Taxonomy</w:t>
      </w:r>
    </w:p>
    <w:p>
      <w:pPr>
        <w:spacing w:after="120" w:before="0" w:line="360" w:lineRule="auto"/>
        <w:ind w:firstLine="720"/>
        <w:jc w:val="both"/>
      </w:pPr>
      <w:r>
        <w:rPr>
          <w:rFonts w:ascii="Times New Roman" w:hAnsi="Times New Roman" w:eastAsia="Times New Roman"/>
          <w:b w:val="0"/>
          <w:i w:val="0"/>
          <w:sz w:val="26"/>
        </w:rPr>
        <w:t>The thesis does not claim that a specific factor set is the only correct model. Instead, the factor literature motivates design constraints: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Factor estimates are meaningful only on comparable samples; therefore, symbol coverage and overlap windows must be observable.</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Factor outputs should be conditional on a declared universe, window, and data-quality contract.</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Exclusions due to insufficient data should be transparent and reproducible.</w:t>
      </w:r>
    </w:p>
    <w:p>
      <w:pPr>
        <w:spacing w:after="120" w:before="0" w:line="360" w:lineRule="auto"/>
        <w:ind w:firstLine="720"/>
        <w:jc w:val="both"/>
      </w:pPr>
      <w:r>
        <w:rPr>
          <w:rFonts w:ascii="Times New Roman" w:hAnsi="Times New Roman" w:eastAsia="Times New Roman"/>
          <w:b w:val="0"/>
          <w:i w:val="0"/>
          <w:sz w:val="26"/>
        </w:rPr>
        <w:t>These constraints motivate why QuantVN Strategy Forge treats coverage diagnostics and exclusion reasons as product-level outputs rather than as internal logs.</w:t>
      </w:r>
    </w:p>
    <w:p>
      <w:pPr>
        <w:spacing w:before="240" w:after="120" w:line="360" w:lineRule="auto"/>
        <w:jc w:val="left"/>
      </w:pPr>
      <w:r>
        <w:rPr>
          <w:rFonts w:ascii="Times New Roman" w:hAnsi="Times New Roman" w:eastAsia="Times New Roman"/>
          <w:b/>
          <w:i w:val="0"/>
          <w:color w:val="000000"/>
          <w:sz w:val="26"/>
        </w:rPr>
        <w:t>2.4.2 Relating Factors to Strategy Workflows</w:t>
      </w:r>
    </w:p>
    <w:p>
      <w:pPr>
        <w:spacing w:after="120" w:before="0" w:line="360" w:lineRule="auto"/>
        <w:ind w:firstLine="720"/>
        <w:jc w:val="both"/>
      </w:pPr>
      <w:r>
        <w:rPr>
          <w:rFonts w:ascii="Times New Roman" w:hAnsi="Times New Roman" w:eastAsia="Times New Roman"/>
          <w:b w:val="0"/>
          <w:i w:val="0"/>
          <w:sz w:val="26"/>
        </w:rPr>
        <w:t>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240" w:after="120" w:line="360" w:lineRule="auto"/>
        <w:jc w:val="left"/>
      </w:pPr>
      <w:r>
        <w:rPr>
          <w:rFonts w:ascii="Times New Roman" w:hAnsi="Times New Roman" w:eastAsia="Times New Roman"/>
          <w:b/>
          <w:i w:val="0"/>
          <w:color w:val="000000"/>
          <w:sz w:val="26"/>
        </w:rPr>
        <w:t>2.4.3 Factor Construction, Regression Attribution, and "Explanations" as Estimates</w:t>
      </w:r>
    </w:p>
    <w:p>
      <w:pPr>
        <w:spacing w:after="120" w:before="0" w:line="360" w:lineRule="auto"/>
        <w:ind w:firstLine="720"/>
        <w:jc w:val="both"/>
      </w:pPr>
      <w:r>
        <w:rPr>
          <w:rFonts w:ascii="Times New Roman" w:hAnsi="Times New Roman" w:eastAsia="Times New Roman"/>
          <w:b w:val="0"/>
          <w:i w:val="0"/>
          <w:sz w:val="26"/>
        </w:rPr>
        <w:t>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after="120" w:before="0" w:line="360" w:lineRule="auto"/>
        <w:ind w:firstLine="720"/>
        <w:jc w:val="both"/>
      </w:pPr>
      <w:r>
        <w:rPr>
          <w:rFonts w:ascii="Times New Roman" w:hAnsi="Times New Roman" w:eastAsia="Times New Roman"/>
          <w:b w:val="0"/>
          <w:i w:val="0"/>
          <w:sz w:val="26"/>
        </w:rPr>
        <w:t>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after="120" w:before="0" w:line="360" w:lineRule="auto"/>
        <w:ind w:firstLine="720"/>
        <w:jc w:val="both"/>
      </w:pPr>
      <w:r>
        <w:rPr>
          <w:rFonts w:ascii="Times New Roman" w:hAnsi="Times New Roman" w:eastAsia="Times New Roman"/>
          <w:b w:val="0"/>
          <w:i w:val="0"/>
          <w:sz w:val="26"/>
        </w:rPr>
        <w:t>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after="120" w:before="0" w:line="360" w:lineRule="auto"/>
        <w:ind w:firstLine="720"/>
        <w:jc w:val="both"/>
      </w:pPr>
      <w:r>
        <w:rPr>
          <w:rFonts w:ascii="Times New Roman" w:hAnsi="Times New Roman" w:eastAsia="Times New Roman"/>
          <w:b w:val="0"/>
          <w:i w:val="0"/>
          <w:sz w:val="26"/>
        </w:rPr>
        <w:t>From a system design perspective, this motivates three additional design constraints.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Expose factor definitions and sample windows.</w:t>
      </w:r>
      <w:r>
        <w:rPr>
          <w:rFonts w:ascii="Times New Roman" w:hAnsi="Times New Roman" w:eastAsia="Times New Roman"/>
          <w:b w:val="0"/>
          <w:i w:val="0"/>
          <w:sz w:val="26"/>
        </w:rPr>
        <w:t xml:space="preserve"> Because factor series depend on construction, users should see the factor set, the window, and basic diagnostics rather than being presented with an abstract label alone.</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Represent attribution outputs as estimates with uncertainty.</w:t>
      </w:r>
      <w:r>
        <w:rPr>
          <w:rFonts w:ascii="Times New Roman" w:hAnsi="Times New Roman" w:eastAsia="Times New Roman"/>
          <w:b w:val="0"/>
          <w:i w:val="0"/>
          <w:sz w:val="26"/>
        </w:rPr>
        <w:t xml:space="preserve">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Make factor models interoperable with strategy specifications.</w:t>
      </w:r>
      <w:r>
        <w:rPr>
          <w:rFonts w:ascii="Times New Roman" w:hAnsi="Times New Roman" w:eastAsia="Times New Roman"/>
          <w:b w:val="0"/>
          <w:i w:val="0"/>
          <w:sz w:val="26"/>
        </w:rPr>
        <w:t xml:space="preserve">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after="120" w:before="0" w:line="360" w:lineRule="auto"/>
        <w:ind w:firstLine="720"/>
        <w:jc w:val="both"/>
      </w:pPr>
      <w:r>
        <w:rPr>
          <w:rFonts w:ascii="Times New Roman" w:hAnsi="Times New Roman" w:eastAsia="Times New Roman"/>
          <w:b w:val="0"/>
          <w:i w:val="0"/>
          <w:sz w:val="26"/>
        </w:rPr>
        <w:t>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240" w:after="120" w:line="360" w:lineRule="auto"/>
        <w:jc w:val="left"/>
      </w:pPr>
      <w:r>
        <w:rPr>
          <w:rFonts w:ascii="Times New Roman" w:hAnsi="Times New Roman" w:eastAsia="Times New Roman"/>
          <w:b/>
          <w:i w:val="0"/>
          <w:color w:val="000000"/>
          <w:sz w:val="26"/>
        </w:rPr>
        <w:t>2.4.4 Discount Rates and Conditional Interpretation</w:t>
      </w:r>
    </w:p>
    <w:p>
      <w:pPr>
        <w:spacing w:after="120" w:before="0" w:line="360" w:lineRule="auto"/>
        <w:ind w:firstLine="720"/>
        <w:jc w:val="both"/>
      </w:pPr>
      <w:r>
        <w:rPr>
          <w:rFonts w:ascii="Times New Roman" w:hAnsi="Times New Roman" w:eastAsia="Times New Roman"/>
          <w:b w:val="0"/>
          <w:i w:val="0"/>
          <w:sz w:val="26"/>
        </w:rPr>
        <w:t>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after="120" w:before="0" w:line="360" w:lineRule="auto"/>
        <w:ind w:firstLine="720"/>
        <w:jc w:val="both"/>
      </w:pPr>
      <w:r>
        <w:rPr>
          <w:rFonts w:ascii="Times New Roman" w:hAnsi="Times New Roman" w:eastAsia="Times New Roman"/>
          <w:b w:val="0"/>
          <w:i w:val="0"/>
          <w:sz w:val="26"/>
        </w:rPr>
        <w:t>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240" w:after="120" w:line="360" w:lineRule="auto"/>
        <w:jc w:val="left"/>
      </w:pPr>
      <w:r>
        <w:rPr>
          <w:rFonts w:ascii="Times New Roman" w:hAnsi="Times New Roman" w:eastAsia="Times New Roman"/>
          <w:b/>
          <w:i w:val="0"/>
          <w:color w:val="000000"/>
          <w:sz w:val="26"/>
        </w:rPr>
        <w:t>2.4.5 Factor Proliferation, Multiple Testing, and Post-Discovery Decay</w:t>
      </w:r>
    </w:p>
    <w:p>
      <w:pPr>
        <w:spacing w:after="120" w:before="0" w:line="360" w:lineRule="auto"/>
        <w:ind w:firstLine="720"/>
        <w:jc w:val="both"/>
      </w:pPr>
      <w:r>
        <w:rPr>
          <w:rFonts w:ascii="Times New Roman" w:hAnsi="Times New Roman" w:eastAsia="Times New Roman"/>
          <w:b w:val="0"/>
          <w:i w:val="0"/>
          <w:sz w:val="26"/>
        </w:rPr>
        <w:t>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after="120" w:before="0" w:line="360" w:lineRule="auto"/>
        <w:ind w:firstLine="720"/>
        <w:jc w:val="both"/>
      </w:pPr>
      <w:r>
        <w:rPr>
          <w:rFonts w:ascii="Times New Roman" w:hAnsi="Times New Roman" w:eastAsia="Times New Roman"/>
          <w:b w:val="0"/>
          <w:i w:val="0"/>
          <w:sz w:val="26"/>
        </w:rPr>
        <w:t>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after="120" w:before="0" w:line="360" w:lineRule="auto"/>
        <w:ind w:firstLine="720"/>
        <w:jc w:val="both"/>
      </w:pPr>
      <w:r>
        <w:rPr>
          <w:rFonts w:ascii="Times New Roman" w:hAnsi="Times New Roman" w:eastAsia="Times New Roman"/>
          <w:b w:val="0"/>
          <w:i w:val="0"/>
          <w:sz w:val="26"/>
        </w:rPr>
        <w:t>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240" w:after="120" w:line="360" w:lineRule="auto"/>
        <w:jc w:val="left"/>
      </w:pPr>
      <w:r>
        <w:rPr>
          <w:rFonts w:ascii="Times New Roman" w:hAnsi="Times New Roman" w:eastAsia="Times New Roman"/>
          <w:b/>
          <w:i w:val="0"/>
          <w:color w:val="000000"/>
          <w:sz w:val="28"/>
        </w:rPr>
        <w:t>2.5 Momentum, Persistence, and the Strategy-Design Bridge</w:t>
      </w:r>
    </w:p>
    <w:p>
      <w:pPr>
        <w:spacing w:after="120" w:before="0" w:line="360" w:lineRule="auto"/>
        <w:ind w:firstLine="720"/>
        <w:jc w:val="both"/>
      </w:pPr>
      <w:r>
        <w:rPr>
          <w:rFonts w:ascii="Times New Roman" w:hAnsi="Times New Roman" w:eastAsia="Times New Roman"/>
          <w:b w:val="0"/>
          <w:i w:val="0"/>
          <w:sz w:val="26"/>
        </w:rPr>
        <w:t>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after="120" w:before="0" w:line="360" w:lineRule="auto"/>
        <w:ind w:firstLine="720"/>
        <w:jc w:val="both"/>
      </w:pPr>
      <w:r>
        <w:rPr>
          <w:rFonts w:ascii="Times New Roman" w:hAnsi="Times New Roman" w:eastAsia="Times New Roman"/>
          <w:b w:val="0"/>
          <w:i w:val="0"/>
          <w:sz w:val="26"/>
        </w:rPr>
        <w:t>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240" w:after="120" w:line="360" w:lineRule="auto"/>
        <w:jc w:val="left"/>
      </w:pPr>
      <w:r>
        <w:rPr>
          <w:rFonts w:ascii="Times New Roman" w:hAnsi="Times New Roman" w:eastAsia="Times New Roman"/>
          <w:b/>
          <w:i w:val="0"/>
          <w:color w:val="000000"/>
          <w:sz w:val="26"/>
        </w:rPr>
        <w:t>2.5.1 Implementation Sensitivity: Universe, Rebalancing, and Capacity</w:t>
      </w:r>
    </w:p>
    <w:p>
      <w:pPr>
        <w:spacing w:after="120" w:before="0" w:line="360" w:lineRule="auto"/>
        <w:ind w:firstLine="720"/>
        <w:jc w:val="both"/>
      </w:pPr>
      <w:r>
        <w:rPr>
          <w:rFonts w:ascii="Times New Roman" w:hAnsi="Times New Roman" w:eastAsia="Times New Roman"/>
          <w:b w:val="0"/>
          <w:i w:val="0"/>
          <w:sz w:val="26"/>
        </w:rPr>
        <w:t>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after="120" w:before="0" w:line="360" w:lineRule="auto"/>
        <w:ind w:firstLine="720"/>
        <w:jc w:val="both"/>
      </w:pPr>
      <w:r>
        <w:rPr>
          <w:rFonts w:ascii="Times New Roman" w:hAnsi="Times New Roman" w:eastAsia="Times New Roman"/>
          <w:b w:val="0"/>
          <w:i w:val="0"/>
          <w:sz w:val="26"/>
        </w:rPr>
        <w:t>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240" w:after="120" w:line="360" w:lineRule="auto"/>
        <w:jc w:val="left"/>
      </w:pPr>
      <w:r>
        <w:rPr>
          <w:rFonts w:ascii="Times New Roman" w:hAnsi="Times New Roman" w:eastAsia="Times New Roman"/>
          <w:b/>
          <w:i w:val="0"/>
          <w:color w:val="000000"/>
          <w:sz w:val="26"/>
        </w:rPr>
        <w:t>2.5.2 Persistence, Factor Adjustment, and Avoiding Overconfident Narratives</w:t>
      </w:r>
    </w:p>
    <w:p>
      <w:pPr>
        <w:spacing w:after="120" w:before="0" w:line="360" w:lineRule="auto"/>
        <w:ind w:firstLine="720"/>
        <w:jc w:val="both"/>
      </w:pPr>
      <w:r>
        <w:rPr>
          <w:rFonts w:ascii="Times New Roman" w:hAnsi="Times New Roman" w:eastAsia="Times New Roman"/>
          <w:b w:val="0"/>
          <w:i w:val="0"/>
          <w:sz w:val="26"/>
        </w:rPr>
        <w:t>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after="120" w:before="0" w:line="360" w:lineRule="auto"/>
        <w:ind w:firstLine="720"/>
        <w:jc w:val="both"/>
      </w:pPr>
      <w:r>
        <w:rPr>
          <w:rFonts w:ascii="Times New Roman" w:hAnsi="Times New Roman" w:eastAsia="Times New Roman"/>
          <w:b w:val="0"/>
          <w:i w:val="0"/>
          <w:sz w:val="26"/>
        </w:rPr>
        <w:t>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240" w:after="120" w:line="360" w:lineRule="auto"/>
        <w:jc w:val="left"/>
      </w:pPr>
      <w:r>
        <w:rPr>
          <w:rFonts w:ascii="Times New Roman" w:hAnsi="Times New Roman" w:eastAsia="Times New Roman"/>
          <w:b/>
          <w:i w:val="0"/>
          <w:color w:val="000000"/>
          <w:sz w:val="26"/>
        </w:rPr>
        <w:t>2.5.3 Momentum as a Case Study in End-to-End Constraints</w:t>
      </w:r>
    </w:p>
    <w:p>
      <w:pPr>
        <w:spacing w:after="120" w:before="0" w:line="360" w:lineRule="auto"/>
        <w:ind w:firstLine="720"/>
        <w:jc w:val="both"/>
      </w:pPr>
      <w:r>
        <w:rPr>
          <w:rFonts w:ascii="Times New Roman" w:hAnsi="Times New Roman" w:eastAsia="Times New Roman"/>
          <w:b w:val="0"/>
          <w:i w:val="0"/>
          <w:sz w:val="26"/>
        </w:rPr>
        <w:t>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after="120" w:before="0" w:line="360" w:lineRule="auto"/>
        <w:ind w:firstLine="720"/>
        <w:jc w:val="both"/>
      </w:pPr>
      <w:r>
        <w:rPr>
          <w:rFonts w:ascii="Times New Roman" w:hAnsi="Times New Roman" w:eastAsia="Times New Roman"/>
          <w:b w:val="0"/>
          <w:i w:val="0"/>
          <w:sz w:val="26"/>
        </w:rPr>
        <w:t>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after="120" w:before="0" w:line="360" w:lineRule="auto"/>
        <w:ind w:firstLine="720"/>
        <w:jc w:val="both"/>
      </w:pPr>
      <w:r>
        <w:rPr>
          <w:rFonts w:ascii="Times New Roman" w:hAnsi="Times New Roman" w:eastAsia="Times New Roman"/>
          <w:b w:val="0"/>
          <w:i w:val="0"/>
          <w:sz w:val="26"/>
        </w:rPr>
        <w:t>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after="120" w:before="0" w:line="360" w:lineRule="auto"/>
        <w:ind w:firstLine="720"/>
        <w:jc w:val="both"/>
      </w:pPr>
      <w:r>
        <w:rPr>
          <w:rFonts w:ascii="Times New Roman" w:hAnsi="Times New Roman" w:eastAsia="Times New Roman"/>
          <w:b w:val="0"/>
          <w:i w:val="0"/>
          <w:sz w:val="26"/>
        </w:rPr>
        <w:t>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after="120" w:before="0" w:line="360" w:lineRule="auto"/>
        <w:ind w:firstLine="720"/>
        <w:jc w:val="both"/>
      </w:pPr>
      <w:r>
        <w:rPr>
          <w:rFonts w:ascii="Times New Roman" w:hAnsi="Times New Roman" w:eastAsia="Times New Roman"/>
          <w:b w:val="0"/>
          <w:i w:val="0"/>
          <w:sz w:val="26"/>
        </w:rPr>
        <w:t>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spacing w:before="240" w:after="120" w:line="360" w:lineRule="auto"/>
        <w:jc w:val="left"/>
      </w:pPr>
      <w:r>
        <w:rPr>
          <w:rFonts w:ascii="Times New Roman" w:hAnsi="Times New Roman" w:eastAsia="Times New Roman"/>
          <w:b/>
          <w:i w:val="0"/>
          <w:color w:val="000000"/>
          <w:sz w:val="28"/>
        </w:rPr>
        <w:t>2.6 Technical Analysis and Indicator-Based Strategies</w:t>
      </w:r>
    </w:p>
    <w:p>
      <w:pPr>
        <w:spacing w:after="120" w:before="0" w:line="360" w:lineRule="auto"/>
        <w:ind w:firstLine="720"/>
        <w:jc w:val="both"/>
      </w:pPr>
      <w:r>
        <w:rPr>
          <w:rFonts w:ascii="Times New Roman" w:hAnsi="Times New Roman" w:eastAsia="Times New Roman"/>
          <w:b w:val="0"/>
          <w:i w:val="0"/>
          <w:sz w:val="26"/>
        </w:rPr>
        <w:t>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after="120" w:before="0" w:line="360" w:lineRule="auto"/>
        <w:ind w:firstLine="720"/>
        <w:jc w:val="both"/>
      </w:pPr>
      <w:r>
        <w:rPr>
          <w:rFonts w:ascii="Times New Roman" w:hAnsi="Times New Roman" w:eastAsia="Times New Roman"/>
          <w:b w:val="0"/>
          <w:i w:val="0"/>
          <w:sz w:val="26"/>
        </w:rPr>
        <w:t>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240" w:after="120" w:line="360" w:lineRule="auto"/>
        <w:jc w:val="left"/>
      </w:pPr>
      <w:r>
        <w:rPr>
          <w:rFonts w:ascii="Times New Roman" w:hAnsi="Times New Roman" w:eastAsia="Times New Roman"/>
          <w:b/>
          <w:i w:val="0"/>
          <w:color w:val="000000"/>
          <w:sz w:val="26"/>
        </w:rPr>
        <w:t>2.6.1 Design Implication: Indicators Are Not Evidence Without Evaluation</w:t>
      </w:r>
    </w:p>
    <w:p>
      <w:pPr>
        <w:spacing w:after="120" w:before="0" w:line="360" w:lineRule="auto"/>
        <w:ind w:firstLine="720"/>
        <w:jc w:val="both"/>
      </w:pPr>
      <w:r>
        <w:rPr>
          <w:rFonts w:ascii="Times New Roman" w:hAnsi="Times New Roman" w:eastAsia="Times New Roman"/>
          <w:b w:val="0"/>
          <w:i w:val="0"/>
          <w:sz w:val="26"/>
        </w:rPr>
        <w:t>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240" w:after="120" w:line="360" w:lineRule="auto"/>
        <w:jc w:val="left"/>
      </w:pPr>
      <w:r>
        <w:rPr>
          <w:rFonts w:ascii="Times New Roman" w:hAnsi="Times New Roman" w:eastAsia="Times New Roman"/>
          <w:b/>
          <w:i w:val="0"/>
          <w:color w:val="000000"/>
          <w:sz w:val="26"/>
        </w:rPr>
        <w:t>2.6.2 Data-Snooping in Rule Discovery and Why "Many Rules" Is a Reliability Risk</w:t>
      </w:r>
    </w:p>
    <w:p>
      <w:pPr>
        <w:spacing w:after="120" w:before="0" w:line="360" w:lineRule="auto"/>
        <w:ind w:firstLine="720"/>
        <w:jc w:val="both"/>
      </w:pPr>
      <w:r>
        <w:rPr>
          <w:rFonts w:ascii="Times New Roman" w:hAnsi="Times New Roman" w:eastAsia="Times New Roman"/>
          <w:b w:val="0"/>
          <w:i w:val="0"/>
          <w:sz w:val="26"/>
        </w:rPr>
        <w:t>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after="120" w:before="0" w:line="360" w:lineRule="auto"/>
        <w:ind w:firstLine="720"/>
        <w:jc w:val="both"/>
      </w:pPr>
      <w:r>
        <w:rPr>
          <w:rFonts w:ascii="Times New Roman" w:hAnsi="Times New Roman" w:eastAsia="Times New Roman"/>
          <w:b w:val="0"/>
          <w:i w:val="0"/>
          <w:sz w:val="26"/>
        </w:rPr>
        <w:t>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exposing the number of strategies or parameter combinations tested in an experiment log,</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providing sensitivity views (how results change with small parameter perturbations),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enforcing conservative default assumptions (causal execution, nonzero costs), and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requiring minimum usable history after cleaning before metrics are reported.</w:t>
      </w:r>
    </w:p>
    <w:p>
      <w:pPr>
        <w:spacing w:after="120" w:before="0" w:line="360" w:lineRule="auto"/>
        <w:ind w:firstLine="720"/>
        <w:jc w:val="both"/>
      </w:pPr>
      <w:r>
        <w:rPr>
          <w:rFonts w:ascii="Times New Roman" w:hAnsi="Times New Roman" w:eastAsia="Times New Roman"/>
          <w:b w:val="0"/>
          <w:i w:val="0"/>
          <w:sz w:val="26"/>
        </w:rPr>
        <w:t>In a thesis product, such safeguards can be implemented as deterministic gates and diagnostics rather than as full statistical corrections. The goal is to reduce user overconfidence by making fragility visible.</w:t>
      </w:r>
    </w:p>
    <w:p>
      <w:pPr>
        <w:spacing w:before="240" w:after="120" w:line="360" w:lineRule="auto"/>
        <w:jc w:val="left"/>
      </w:pPr>
      <w:r>
        <w:rPr>
          <w:rFonts w:ascii="Times New Roman" w:hAnsi="Times New Roman" w:eastAsia="Times New Roman"/>
          <w:b/>
          <w:i w:val="0"/>
          <w:color w:val="000000"/>
          <w:sz w:val="26"/>
        </w:rPr>
        <w:t>2.6.3 Data Integrity in Indicator Strategies: Corporate Actions, Survivorship, and Regime Breaks</w:t>
      </w:r>
    </w:p>
    <w:p>
      <w:pPr>
        <w:spacing w:after="120" w:before="0" w:line="360" w:lineRule="auto"/>
        <w:ind w:firstLine="720"/>
        <w:jc w:val="both"/>
      </w:pPr>
      <w:r>
        <w:rPr>
          <w:rFonts w:ascii="Times New Roman" w:hAnsi="Times New Roman" w:eastAsia="Times New Roman"/>
          <w:b w:val="0"/>
          <w:i w:val="0"/>
          <w:sz w:val="26"/>
        </w:rPr>
        <w:t>Indicator strategies operate directly on price series. As a result, they are sensitive to data integrity problems and structural breaks. Even when raw data appear plausible, hidden issues can distort signals: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Corporate actions and discontinuities.</w:t>
      </w:r>
      <w:r>
        <w:rPr>
          <w:rFonts w:ascii="Times New Roman" w:hAnsi="Times New Roman" w:eastAsia="Times New Roman"/>
          <w:b w:val="0"/>
          <w:i w:val="0"/>
          <w:sz w:val="26"/>
        </w:rPr>
        <w:t xml:space="preserve"> Splits, dividends, and symbol changes can introduce discontinuities that resemble large price moves. If the dataset is not adjusted consistently, indicator thresholds and drawdown metrics can be distorted.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Survivorship and universe drift.</w:t>
      </w:r>
      <w:r>
        <w:rPr>
          <w:rFonts w:ascii="Times New Roman" w:hAnsi="Times New Roman" w:eastAsia="Times New Roman"/>
          <w:b w:val="0"/>
          <w:i w:val="0"/>
          <w:sz w:val="26"/>
        </w:rPr>
        <w:t xml:space="preserve"> If the dataset implicitly excludes failed or delisted assets, reported profitability can be biased upward (Brown et al., 1992). In practical platforms, this motivates explicit universe definitions and clear statements about coverage boundaries.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Regime breaks and market structure.</w:t>
      </w:r>
      <w:r>
        <w:rPr>
          <w:rFonts w:ascii="Times New Roman" w:hAnsi="Times New Roman" w:eastAsia="Times New Roman"/>
          <w:b w:val="0"/>
          <w:i w:val="0"/>
          <w:sz w:val="26"/>
        </w:rPr>
        <w:t xml:space="preserve"> Even when data are correct, regimes can change (liquidity, volatility, policy regimes), causing indicator strategies to degrade. This reinforces the need for monitoring and repeatable evaluation rather than one-off demonstrations.</w:t>
      </w:r>
    </w:p>
    <w:p>
      <w:pPr>
        <w:spacing w:after="120" w:before="0" w:line="360" w:lineRule="auto"/>
        <w:ind w:firstLine="720"/>
        <w:jc w:val="both"/>
      </w:pPr>
      <w:r>
        <w:rPr>
          <w:rFonts w:ascii="Times New Roman" w:hAnsi="Times New Roman" w:eastAsia="Times New Roman"/>
          <w:b w:val="0"/>
          <w:i w:val="0"/>
          <w:sz w:val="26"/>
        </w:rPr>
        <w:t>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240" w:after="120" w:line="360" w:lineRule="auto"/>
        <w:jc w:val="left"/>
      </w:pPr>
      <w:r>
        <w:rPr>
          <w:rFonts w:ascii="Times New Roman" w:hAnsi="Times New Roman" w:eastAsia="Times New Roman"/>
          <w:b/>
          <w:i w:val="0"/>
          <w:color w:val="000000"/>
          <w:sz w:val="28"/>
        </w:rPr>
        <w:t>2.7 Risk Measurement: Variance, Tail Risk, and Coherence</w:t>
      </w:r>
    </w:p>
    <w:p>
      <w:pPr>
        <w:spacing w:after="120" w:before="0" w:line="360" w:lineRule="auto"/>
        <w:ind w:firstLine="720"/>
        <w:jc w:val="both"/>
      </w:pPr>
      <w:r>
        <w:rPr>
          <w:rFonts w:ascii="Times New Roman" w:hAnsi="Times New Roman" w:eastAsia="Times New Roman"/>
          <w:b w:val="0"/>
          <w:i w:val="0"/>
          <w:sz w:val="26"/>
        </w:rPr>
        <w:t>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after="120" w:before="0" w:line="360" w:lineRule="auto"/>
        <w:ind w:firstLine="720"/>
        <w:jc w:val="both"/>
      </w:pPr>
      <w:r>
        <w:rPr>
          <w:rFonts w:ascii="Times New Roman" w:hAnsi="Times New Roman" w:eastAsia="Times New Roman"/>
          <w:b w:val="0"/>
          <w:i w:val="0"/>
          <w:sz w:val="26"/>
        </w:rPr>
        <w:t>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240" w:after="120" w:line="360" w:lineRule="auto"/>
        <w:jc w:val="left"/>
      </w:pPr>
      <w:r>
        <w:rPr>
          <w:rFonts w:ascii="Times New Roman" w:hAnsi="Times New Roman" w:eastAsia="Times New Roman"/>
          <w:b/>
          <w:i w:val="0"/>
          <w:color w:val="000000"/>
          <w:sz w:val="26"/>
        </w:rPr>
        <w:t>2.7.1 Coherence and Why the Risk Definition Matters</w:t>
      </w:r>
    </w:p>
    <w:p>
      <w:pPr>
        <w:spacing w:after="120" w:before="0" w:line="360" w:lineRule="auto"/>
        <w:ind w:firstLine="720"/>
        <w:jc w:val="both"/>
      </w:pPr>
      <w:r>
        <w:rPr>
          <w:rFonts w:ascii="Times New Roman" w:hAnsi="Times New Roman" w:eastAsia="Times New Roman"/>
          <w:b w:val="0"/>
          <w:i w:val="0"/>
          <w:sz w:val="26"/>
        </w:rPr>
        <w:t>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after="120" w:before="0" w:line="360" w:lineRule="auto"/>
        <w:ind w:firstLine="720"/>
        <w:jc w:val="both"/>
      </w:pPr>
      <w:r>
        <w:rPr>
          <w:rFonts w:ascii="Times New Roman" w:hAnsi="Times New Roman" w:eastAsia="Times New Roman"/>
          <w:b w:val="0"/>
          <w:i w:val="0"/>
          <w:sz w:val="26"/>
        </w:rPr>
        <w:t>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240" w:after="120" w:line="360" w:lineRule="auto"/>
        <w:jc w:val="left"/>
      </w:pPr>
      <w:r>
        <w:rPr>
          <w:rFonts w:ascii="Times New Roman" w:hAnsi="Times New Roman" w:eastAsia="Times New Roman"/>
          <w:b/>
          <w:i w:val="0"/>
          <w:color w:val="000000"/>
          <w:sz w:val="26"/>
        </w:rPr>
        <w:t>2.7.2 Estimation, Nonstationarity, and the Limits of Point Risk Numbers</w:t>
      </w:r>
    </w:p>
    <w:p>
      <w:pPr>
        <w:spacing w:after="120" w:before="0" w:line="360" w:lineRule="auto"/>
        <w:ind w:firstLine="720"/>
        <w:jc w:val="both"/>
      </w:pPr>
      <w:r>
        <w:rPr>
          <w:rFonts w:ascii="Times New Roman" w:hAnsi="Times New Roman" w:eastAsia="Times New Roman"/>
          <w:b w:val="0"/>
          <w:i w:val="0"/>
          <w:sz w:val="26"/>
        </w:rPr>
        <w:t>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after="120" w:before="0" w:line="360" w:lineRule="auto"/>
        <w:ind w:firstLine="720"/>
        <w:jc w:val="both"/>
      </w:pPr>
      <w:r>
        <w:rPr>
          <w:rFonts w:ascii="Times New Roman" w:hAnsi="Times New Roman" w:eastAsia="Times New Roman"/>
          <w:b w:val="0"/>
          <w:i w:val="0"/>
          <w:sz w:val="26"/>
        </w:rPr>
        <w:t>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240" w:after="120" w:line="360" w:lineRule="auto"/>
        <w:jc w:val="left"/>
      </w:pPr>
      <w:r>
        <w:rPr>
          <w:rFonts w:ascii="Times New Roman" w:hAnsi="Times New Roman" w:eastAsia="Times New Roman"/>
          <w:b/>
          <w:i w:val="0"/>
          <w:color w:val="000000"/>
          <w:sz w:val="26"/>
        </w:rPr>
        <w:t>2.7.3 Risk Reporting as a Workflow Input (Not Only a Dashboard Output)</w:t>
      </w:r>
    </w:p>
    <w:p>
      <w:pPr>
        <w:spacing w:after="120" w:before="0" w:line="360" w:lineRule="auto"/>
        <w:ind w:firstLine="720"/>
        <w:jc w:val="both"/>
      </w:pPr>
      <w:r>
        <w:rPr>
          <w:rFonts w:ascii="Times New Roman" w:hAnsi="Times New Roman" w:eastAsia="Times New Roman"/>
          <w:b w:val="0"/>
          <w:i w:val="0"/>
          <w:sz w:val="26"/>
        </w:rPr>
        <w:t>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after="120" w:before="0" w:line="360" w:lineRule="auto"/>
        <w:ind w:firstLine="720"/>
        <w:jc w:val="both"/>
      </w:pPr>
      <w:r>
        <w:rPr>
          <w:rFonts w:ascii="Times New Roman" w:hAnsi="Times New Roman" w:eastAsia="Times New Roman"/>
          <w:b w:val="0"/>
          <w:i w:val="0"/>
          <w:sz w:val="26"/>
        </w:rPr>
        <w:t>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240" w:after="120" w:line="360" w:lineRule="auto"/>
        <w:jc w:val="left"/>
      </w:pPr>
      <w:r>
        <w:rPr>
          <w:rFonts w:ascii="Times New Roman" w:hAnsi="Times New Roman" w:eastAsia="Times New Roman"/>
          <w:b/>
          <w:i w:val="0"/>
          <w:color w:val="000000"/>
          <w:sz w:val="28"/>
        </w:rPr>
        <w:t>2.8 Backtesting Discipline, Data Snooping, and Multiple Testing</w:t>
      </w:r>
    </w:p>
    <w:p>
      <w:pPr>
        <w:spacing w:after="120" w:before="0" w:line="360" w:lineRule="auto"/>
        <w:ind w:firstLine="720"/>
        <w:jc w:val="both"/>
      </w:pPr>
      <w:r>
        <w:rPr>
          <w:rFonts w:ascii="Times New Roman" w:hAnsi="Times New Roman" w:eastAsia="Times New Roman"/>
          <w:b w:val="0"/>
          <w:i w:val="0"/>
          <w:sz w:val="26"/>
        </w:rPr>
        <w:t>Backtesting is the principal mechanism by which strategy ideas are translated into quantitative evidence. However, backtests can be misleading when strategies are discovered through repeated experimentation.</w:t>
      </w:r>
    </w:p>
    <w:p>
      <w:pPr>
        <w:spacing w:after="120" w:before="0" w:line="360" w:lineRule="auto"/>
        <w:ind w:firstLine="720"/>
        <w:jc w:val="both"/>
      </w:pPr>
      <w:r>
        <w:rPr>
          <w:rFonts w:ascii="Times New Roman" w:hAnsi="Times New Roman" w:eastAsia="Times New Roman"/>
          <w:b w:val="0"/>
          <w:i w:val="0"/>
          <w:sz w:val="26"/>
        </w:rPr>
        <w:t>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240" w:after="120" w:line="360" w:lineRule="auto"/>
        <w:jc w:val="left"/>
      </w:pPr>
      <w:r>
        <w:rPr>
          <w:rFonts w:ascii="Times New Roman" w:hAnsi="Times New Roman" w:eastAsia="Times New Roman"/>
          <w:b/>
          <w:i w:val="0"/>
          <w:color w:val="000000"/>
          <w:sz w:val="26"/>
        </w:rPr>
        <w:t>2.8.1 Product Implication: Conservative Defaults and Diagnostics</w:t>
      </w:r>
    </w:p>
    <w:p>
      <w:pPr>
        <w:spacing w:after="120" w:before="0" w:line="360" w:lineRule="auto"/>
        <w:ind w:firstLine="720"/>
        <w:jc w:val="both"/>
      </w:pPr>
      <w:r>
        <w:rPr>
          <w:rFonts w:ascii="Times New Roman" w:hAnsi="Times New Roman" w:eastAsia="Times New Roman"/>
          <w:b w:val="0"/>
          <w:i w:val="0"/>
          <w:sz w:val="26"/>
        </w:rPr>
        <w:t>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240" w:after="120" w:line="360" w:lineRule="auto"/>
        <w:jc w:val="left"/>
      </w:pPr>
      <w:r>
        <w:rPr>
          <w:rFonts w:ascii="Times New Roman" w:hAnsi="Times New Roman" w:eastAsia="Times New Roman"/>
          <w:b/>
          <w:i w:val="0"/>
          <w:color w:val="000000"/>
          <w:sz w:val="26"/>
        </w:rPr>
        <w:t>2.8.2 Evidence as a Workflow, Not a Screenshot</w:t>
      </w:r>
    </w:p>
    <w:p>
      <w:pPr>
        <w:spacing w:after="120" w:before="0" w:line="360" w:lineRule="auto"/>
        <w:ind w:firstLine="720"/>
        <w:jc w:val="both"/>
      </w:pPr>
      <w:r>
        <w:rPr>
          <w:rFonts w:ascii="Times New Roman" w:hAnsi="Times New Roman" w:eastAsia="Times New Roman"/>
          <w:b w:val="0"/>
          <w:i w:val="0"/>
          <w:sz w:val="26"/>
        </w:rPr>
        <w:t>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240" w:after="120" w:line="360" w:lineRule="auto"/>
        <w:jc w:val="left"/>
      </w:pPr>
      <w:r>
        <w:rPr>
          <w:rFonts w:ascii="Times New Roman" w:hAnsi="Times New Roman" w:eastAsia="Times New Roman"/>
          <w:b/>
          <w:i w:val="0"/>
          <w:color w:val="000000"/>
          <w:sz w:val="26"/>
        </w:rPr>
        <w:t>2.8.3 Transaction Costs, Slippage, and Execution as First-Class Assumptions</w:t>
      </w:r>
    </w:p>
    <w:p>
      <w:pPr>
        <w:spacing w:after="120" w:before="0" w:line="360" w:lineRule="auto"/>
        <w:ind w:firstLine="720"/>
        <w:jc w:val="both"/>
      </w:pPr>
      <w:r>
        <w:rPr>
          <w:rFonts w:ascii="Times New Roman" w:hAnsi="Times New Roman" w:eastAsia="Times New Roman"/>
          <w:b w:val="0"/>
          <w:i w:val="0"/>
          <w:sz w:val="26"/>
        </w:rPr>
        <w:t>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after="120" w:before="0" w:line="360" w:lineRule="auto"/>
        <w:ind w:firstLine="720"/>
        <w:jc w:val="both"/>
      </w:pPr>
      <w:r>
        <w:rPr>
          <w:rFonts w:ascii="Times New Roman" w:hAnsi="Times New Roman" w:eastAsia="Times New Roman"/>
          <w:b w:val="0"/>
          <w:i w:val="0"/>
          <w:sz w:val="26"/>
        </w:rPr>
        <w:t>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after="120" w:before="0" w:line="360" w:lineRule="auto"/>
        <w:ind w:firstLine="720"/>
        <w:jc w:val="both"/>
      </w:pPr>
      <w:r>
        <w:rPr>
          <w:rFonts w:ascii="Times New Roman" w:hAnsi="Times New Roman" w:eastAsia="Times New Roman"/>
          <w:b w:val="0"/>
          <w:i w:val="0"/>
          <w:sz w:val="26"/>
        </w:rPr>
        <w:t>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after="120" w:before="0" w:line="360" w:lineRule="auto"/>
        <w:ind w:firstLine="720"/>
        <w:jc w:val="both"/>
      </w:pPr>
      <w:r>
        <w:rPr>
          <w:rFonts w:ascii="Times New Roman" w:hAnsi="Times New Roman" w:eastAsia="Times New Roman"/>
          <w:b w:val="0"/>
          <w:i w:val="0"/>
          <w:sz w:val="26"/>
        </w:rPr>
        <w:t>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240" w:after="120" w:line="360" w:lineRule="auto"/>
        <w:jc w:val="left"/>
      </w:pPr>
      <w:r>
        <w:rPr>
          <w:rFonts w:ascii="Times New Roman" w:hAnsi="Times New Roman" w:eastAsia="Times New Roman"/>
          <w:b/>
          <w:i w:val="0"/>
          <w:color w:val="000000"/>
          <w:sz w:val="26"/>
        </w:rPr>
        <w:t>2.8.4 Metric Choice, Sampling Uncertainty, and Overconfident Ranking</w:t>
      </w:r>
    </w:p>
    <w:p>
      <w:pPr>
        <w:spacing w:after="120" w:before="0" w:line="360" w:lineRule="auto"/>
        <w:ind w:firstLine="720"/>
        <w:jc w:val="both"/>
      </w:pPr>
      <w:r>
        <w:rPr>
          <w:rFonts w:ascii="Times New Roman" w:hAnsi="Times New Roman" w:eastAsia="Times New Roman"/>
          <w:b w:val="0"/>
          <w:i w:val="0"/>
          <w:sz w:val="26"/>
        </w:rPr>
        <w:t>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after="120" w:before="0" w:line="360" w:lineRule="auto"/>
        <w:ind w:firstLine="720"/>
        <w:jc w:val="both"/>
      </w:pPr>
      <w:r>
        <w:rPr>
          <w:rFonts w:ascii="Times New Roman" w:hAnsi="Times New Roman" w:eastAsia="Times New Roman"/>
          <w:b w:val="0"/>
          <w:i w:val="0"/>
          <w:sz w:val="26"/>
        </w:rPr>
        <w:t>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240" w:after="120" w:line="360" w:lineRule="auto"/>
        <w:jc w:val="left"/>
      </w:pPr>
      <w:r>
        <w:rPr>
          <w:rFonts w:ascii="Times New Roman" w:hAnsi="Times New Roman" w:eastAsia="Times New Roman"/>
          <w:b/>
          <w:i w:val="0"/>
          <w:color w:val="000000"/>
          <w:sz w:val="28"/>
        </w:rPr>
        <w:t>2.9 End-to-End Quantitative Research Cycle (Data -&gt; Signals -&gt; Backtests -&gt; Portfolios -&gt; Monitoring)</w:t>
      </w:r>
    </w:p>
    <w:p>
      <w:pPr>
        <w:spacing w:after="120" w:before="0" w:line="360" w:lineRule="auto"/>
        <w:ind w:firstLine="720"/>
        <w:jc w:val="both"/>
      </w:pPr>
      <w:r>
        <w:rPr>
          <w:rFonts w:ascii="Times New Roman" w:hAnsi="Times New Roman" w:eastAsia="Times New Roman"/>
          <w:b w:val="0"/>
          <w:i w:val="0"/>
          <w:sz w:val="26"/>
        </w:rPr>
        <w:t>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after="120" w:before="0" w:line="360" w:lineRule="auto"/>
        <w:ind w:firstLine="720"/>
        <w:jc w:val="both"/>
      </w:pPr>
      <w:r>
        <w:rPr>
          <w:rFonts w:ascii="Times New Roman" w:hAnsi="Times New Roman" w:eastAsia="Times New Roman"/>
          <w:b w:val="0"/>
          <w:i w:val="0"/>
          <w:sz w:val="26"/>
        </w:rPr>
        <w:t>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240" w:after="120" w:line="360" w:lineRule="auto"/>
        <w:jc w:val="left"/>
      </w:pPr>
      <w:r>
        <w:rPr>
          <w:rFonts w:ascii="Times New Roman" w:hAnsi="Times New Roman" w:eastAsia="Times New Roman"/>
          <w:b/>
          <w:i w:val="0"/>
          <w:color w:val="000000"/>
          <w:sz w:val="26"/>
        </w:rPr>
        <w:t>2.9.1 Stage 1: Data Integrity and Hidden Biases</w:t>
      </w:r>
    </w:p>
    <w:p>
      <w:pPr>
        <w:spacing w:after="120" w:before="0" w:line="360" w:lineRule="auto"/>
        <w:ind w:firstLine="720"/>
        <w:jc w:val="both"/>
      </w:pPr>
      <w:r>
        <w:rPr>
          <w:rFonts w:ascii="Times New Roman" w:hAnsi="Times New Roman" w:eastAsia="Times New Roman"/>
          <w:b w:val="0"/>
          <w:i w:val="0"/>
          <w:sz w:val="26"/>
        </w:rPr>
        <w:t>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after="120" w:before="0" w:line="360" w:lineRule="auto"/>
        <w:ind w:firstLine="720"/>
        <w:jc w:val="both"/>
      </w:pPr>
      <w:r>
        <w:rPr>
          <w:rFonts w:ascii="Times New Roman" w:hAnsi="Times New Roman" w:eastAsia="Times New Roman"/>
          <w:b w:val="0"/>
          <w:i w:val="0"/>
          <w:sz w:val="26"/>
        </w:rPr>
        <w:t>In a product setting, integrity risks tend to recur in recognizable forms: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Calendar mismatch and missingness.</w:t>
      </w:r>
      <w:r>
        <w:rPr>
          <w:rFonts w:ascii="Times New Roman" w:hAnsi="Times New Roman" w:eastAsia="Times New Roman"/>
          <w:b w:val="0"/>
          <w:i w:val="0"/>
          <w:sz w:val="26"/>
        </w:rPr>
        <w:t xml:space="preserve"> Inconsistent trading calendars across symbols and benchmarks can bias covariance estimates and beta-like measures (Sharpe, 1964).</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Duplicate sessions and price outliers.</w:t>
      </w:r>
      <w:r>
        <w:rPr>
          <w:rFonts w:ascii="Times New Roman" w:hAnsi="Times New Roman" w:eastAsia="Times New Roman"/>
          <w:b w:val="0"/>
          <w:i w:val="0"/>
          <w:sz w:val="26"/>
        </w:rPr>
        <w:t xml:space="preserve"> Duplicate days or outlier prints can create spurious indicator crossings and distort drawdowns (Brock et al., 1992; Lo et al., 2000).</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Silent filtering.</w:t>
      </w:r>
      <w:r>
        <w:rPr>
          <w:rFonts w:ascii="Times New Roman" w:hAnsi="Times New Roman" w:eastAsia="Times New Roman"/>
          <w:b w:val="0"/>
          <w:i w:val="0"/>
          <w:sz w:val="26"/>
        </w:rPr>
        <w:t xml:space="preserve"> Implicit filtering during preparation can change results without being visible at the UI layer.</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Inconsistent symbol histories.</w:t>
      </w:r>
      <w:r>
        <w:rPr>
          <w:rFonts w:ascii="Times New Roman" w:hAnsi="Times New Roman" w:eastAsia="Times New Roman"/>
          <w:b w:val="0"/>
          <w:i w:val="0"/>
          <w:sz w:val="26"/>
        </w:rPr>
        <w:t xml:space="preserve"> Heterogeneous listing histories create non-comparable samples for cross-sectional ranks and portfolio optimisation (Markowitz, 1952; Fama &amp; French, 1993).</w:t>
      </w:r>
    </w:p>
    <w:p>
      <w:pPr>
        <w:spacing w:after="120" w:before="0" w:line="360" w:lineRule="auto"/>
        <w:ind w:firstLine="720"/>
        <w:jc w:val="both"/>
      </w:pPr>
      <w:r>
        <w:rPr>
          <w:rFonts w:ascii="Times New Roman" w:hAnsi="Times New Roman" w:eastAsia="Times New Roman"/>
          <w:b w:val="0"/>
          <w:i w:val="0"/>
          <w:sz w:val="26"/>
        </w:rPr>
        <w:t>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240" w:after="120" w:line="360" w:lineRule="auto"/>
        <w:jc w:val="left"/>
      </w:pPr>
      <w:r>
        <w:rPr>
          <w:rFonts w:ascii="Times New Roman" w:hAnsi="Times New Roman" w:eastAsia="Times New Roman"/>
          <w:b/>
          <w:i w:val="0"/>
          <w:color w:val="000000"/>
          <w:sz w:val="26"/>
        </w:rPr>
        <w:t>2.9.2 Stage 2: Feature Construction and Hypothesis Formation</w:t>
      </w:r>
    </w:p>
    <w:p>
      <w:pPr>
        <w:spacing w:after="120" w:before="0" w:line="360" w:lineRule="auto"/>
        <w:ind w:firstLine="720"/>
        <w:jc w:val="both"/>
      </w:pPr>
      <w:r>
        <w:rPr>
          <w:rFonts w:ascii="Times New Roman" w:hAnsi="Times New Roman" w:eastAsia="Times New Roman"/>
          <w:b w:val="0"/>
          <w:i w:val="0"/>
          <w:sz w:val="26"/>
        </w:rPr>
        <w:t>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after="120" w:before="0" w:line="360" w:lineRule="auto"/>
        <w:ind w:firstLine="720"/>
        <w:jc w:val="both"/>
      </w:pPr>
      <w:r>
        <w:rPr>
          <w:rFonts w:ascii="Times New Roman" w:hAnsi="Times New Roman" w:eastAsia="Times New Roman"/>
          <w:b w:val="0"/>
          <w:i w:val="0"/>
          <w:sz w:val="26"/>
        </w:rPr>
        <w:t>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after="120" w:before="0" w:line="360" w:lineRule="auto"/>
        <w:ind w:firstLine="720"/>
        <w:jc w:val="both"/>
      </w:pPr>
      <w:r>
        <w:rPr>
          <w:rFonts w:ascii="Times New Roman" w:hAnsi="Times New Roman" w:eastAsia="Times New Roman"/>
          <w:b w:val="0"/>
          <w:i w:val="0"/>
          <w:sz w:val="26"/>
        </w:rPr>
        <w:t>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240" w:after="120" w:line="360" w:lineRule="auto"/>
        <w:jc w:val="left"/>
      </w:pPr>
      <w:r>
        <w:rPr>
          <w:rFonts w:ascii="Times New Roman" w:hAnsi="Times New Roman" w:eastAsia="Times New Roman"/>
          <w:b/>
          <w:i w:val="0"/>
          <w:color w:val="000000"/>
          <w:sz w:val="26"/>
        </w:rPr>
        <w:t>2.9.3 Stage 3: Backtesting as Conditional Evidence Under Search</w:t>
      </w:r>
    </w:p>
    <w:p>
      <w:pPr>
        <w:spacing w:after="120" w:before="0" w:line="360" w:lineRule="auto"/>
        <w:ind w:firstLine="720"/>
        <w:jc w:val="both"/>
      </w:pPr>
      <w:r>
        <w:rPr>
          <w:rFonts w:ascii="Times New Roman" w:hAnsi="Times New Roman" w:eastAsia="Times New Roman"/>
          <w:b w:val="0"/>
          <w:i w:val="0"/>
          <w:sz w:val="26"/>
        </w:rPr>
        <w:t>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after="120" w:before="0" w:line="360" w:lineRule="auto"/>
        <w:ind w:firstLine="720"/>
        <w:jc w:val="both"/>
      </w:pPr>
      <w:r>
        <w:rPr>
          <w:rFonts w:ascii="Times New Roman" w:hAnsi="Times New Roman" w:eastAsia="Times New Roman"/>
          <w:b w:val="0"/>
          <w:i w:val="0"/>
          <w:sz w:val="26"/>
        </w:rPr>
        <w:t>These results motivate practical evaluation commitments that can be implemented as product guardrails: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Make execution timing explicit and causal (avoid implicit look-ahead).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Separate gross and net performance (attribute results to signal vs costs).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Report diagnostics that expose cleaning, gaps, and usable history.</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Treat backtests as comparative evidence, not as proofs of edge.</w:t>
      </w:r>
    </w:p>
    <w:p>
      <w:pPr>
        <w:spacing w:after="120" w:before="0" w:line="360" w:lineRule="auto"/>
        <w:ind w:firstLine="720"/>
        <w:jc w:val="both"/>
      </w:pPr>
      <w:r>
        <w:rPr>
          <w:rFonts w:ascii="Times New Roman" w:hAnsi="Times New Roman" w:eastAsia="Times New Roman"/>
          <w:b w:val="0"/>
          <w:i w:val="0"/>
          <w:sz w:val="26"/>
        </w:rPr>
        <w:t>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after="120" w:before="0" w:line="360" w:lineRule="auto"/>
        <w:ind w:firstLine="720"/>
        <w:jc w:val="both"/>
      </w:pPr>
      <w:r>
        <w:rPr>
          <w:rFonts w:ascii="Times New Roman" w:hAnsi="Times New Roman" w:eastAsia="Times New Roman"/>
          <w:b w:val="0"/>
          <w:i w:val="0"/>
          <w:sz w:val="26"/>
        </w:rPr>
        <w:t>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240" w:after="120" w:line="360" w:lineRule="auto"/>
        <w:jc w:val="left"/>
      </w:pPr>
      <w:r>
        <w:rPr>
          <w:rFonts w:ascii="Times New Roman" w:hAnsi="Times New Roman" w:eastAsia="Times New Roman"/>
          <w:b/>
          <w:i w:val="0"/>
          <w:color w:val="000000"/>
          <w:sz w:val="26"/>
        </w:rPr>
        <w:t>2.9.4 Stage 4: Portfolios and Risk Controls</w:t>
      </w:r>
    </w:p>
    <w:p>
      <w:pPr>
        <w:spacing w:after="120" w:before="0" w:line="360" w:lineRule="auto"/>
        <w:ind w:firstLine="720"/>
        <w:jc w:val="both"/>
      </w:pPr>
      <w:r>
        <w:rPr>
          <w:rFonts w:ascii="Times New Roman" w:hAnsi="Times New Roman" w:eastAsia="Times New Roman"/>
          <w:b w:val="0"/>
          <w:i w:val="0"/>
          <w:sz w:val="26"/>
        </w:rPr>
        <w:t>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after="120" w:before="0" w:line="360" w:lineRule="auto"/>
        <w:ind w:firstLine="720"/>
        <w:jc w:val="both"/>
      </w:pPr>
      <w:r>
        <w:rPr>
          <w:rFonts w:ascii="Times New Roman" w:hAnsi="Times New Roman" w:eastAsia="Times New Roman"/>
          <w:b w:val="0"/>
          <w:i w:val="0"/>
          <w:sz w:val="26"/>
        </w:rPr>
        <w:t>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240" w:after="120" w:line="360" w:lineRule="auto"/>
        <w:jc w:val="left"/>
      </w:pPr>
      <w:r>
        <w:rPr>
          <w:rFonts w:ascii="Times New Roman" w:hAnsi="Times New Roman" w:eastAsia="Times New Roman"/>
          <w:b/>
          <w:i w:val="0"/>
          <w:color w:val="000000"/>
          <w:sz w:val="26"/>
        </w:rPr>
        <w:t>2.9.5 Stage 5: Monitoring, Drift, and Iteration</w:t>
      </w:r>
    </w:p>
    <w:p>
      <w:pPr>
        <w:spacing w:after="120" w:before="0" w:line="360" w:lineRule="auto"/>
        <w:ind w:firstLine="720"/>
        <w:jc w:val="both"/>
      </w:pPr>
      <w:r>
        <w:rPr>
          <w:rFonts w:ascii="Times New Roman" w:hAnsi="Times New Roman" w:eastAsia="Times New Roman"/>
          <w:b w:val="0"/>
          <w:i w:val="0"/>
          <w:sz w:val="26"/>
        </w:rPr>
        <w:t>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after="120" w:before="0" w:line="360" w:lineRule="auto"/>
        <w:ind w:firstLine="720"/>
        <w:jc w:val="both"/>
      </w:pPr>
      <w:r>
        <w:rPr>
          <w:rFonts w:ascii="Times New Roman" w:hAnsi="Times New Roman" w:eastAsia="Times New Roman"/>
          <w:b w:val="0"/>
          <w:i w:val="0"/>
          <w:sz w:val="26"/>
        </w:rPr>
        <w:t>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after="120" w:before="240" w:line="360" w:lineRule="auto"/>
        <w:jc w:val="center"/>
      </w:pPr>
      <w:r>
        <w:drawing>
          <wp:inline xmlns:a="http://schemas.openxmlformats.org/drawingml/2006/main" xmlns:pic="http://schemas.openxmlformats.org/drawingml/2006/picture">
            <wp:extent cx="5040000" cy="10633846"/>
            <wp:docPr id="8" name="Picture 8"/>
            <wp:cNvGraphicFramePr>
              <a:graphicFrameLocks noChangeAspect="1"/>
            </wp:cNvGraphicFramePr>
            <a:graphic>
              <a:graphicData uri="http://schemas.openxmlformats.org/drawingml/2006/picture">
                <pic:pic>
                  <pic:nvPicPr>
                    <pic:cNvPr id="0" name="fig_2_1.png"/>
                    <pic:cNvPicPr/>
                  </pic:nvPicPr>
                  <pic:blipFill>
                    <a:blip r:embed="rId7"/>
                    <a:stretch>
                      <a:fillRect/>
                    </a:stretch>
                  </pic:blipFill>
                  <pic:spPr>
                    <a:xfrm>
                      <a:off x="0" y="0"/>
                      <a:ext cx="5040000" cy="10633846"/>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2.1: Quantitative research and evaluation cycle (conceptual).</w:t>
      </w:r>
    </w:p>
    <w:p>
      <w:pPr>
        <w:spacing w:before="240" w:after="120" w:line="360" w:lineRule="auto"/>
        <w:jc w:val="left"/>
      </w:pPr>
      <w:r>
        <w:rPr>
          <w:rFonts w:ascii="Times New Roman" w:hAnsi="Times New Roman" w:eastAsia="Times New Roman"/>
          <w:b/>
          <w:i w:val="0"/>
          <w:color w:val="000000"/>
          <w:sz w:val="28"/>
        </w:rPr>
        <w:t>2.10 Machine Learning in Finance: High-Dimensional Prediction and Factor Modelling</w:t>
      </w:r>
    </w:p>
    <w:p>
      <w:pPr>
        <w:spacing w:after="120" w:before="0" w:line="360" w:lineRule="auto"/>
        <w:ind w:firstLine="720"/>
        <w:jc w:val="both"/>
      </w:pPr>
      <w:r>
        <w:rPr>
          <w:rFonts w:ascii="Times New Roman" w:hAnsi="Times New Roman" w:eastAsia="Times New Roman"/>
          <w:b w:val="0"/>
          <w:i w:val="0"/>
          <w:sz w:val="26"/>
        </w:rPr>
        <w:t>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240" w:after="120" w:line="360" w:lineRule="auto"/>
        <w:jc w:val="left"/>
      </w:pPr>
      <w:r>
        <w:rPr>
          <w:rFonts w:ascii="Times New Roman" w:hAnsi="Times New Roman" w:eastAsia="Times New Roman"/>
          <w:b/>
          <w:i w:val="0"/>
          <w:color w:val="000000"/>
          <w:sz w:val="26"/>
        </w:rPr>
        <w:t>2.10.1 Generalisation and Robustness</w:t>
      </w:r>
    </w:p>
    <w:p>
      <w:pPr>
        <w:spacing w:after="120" w:before="0" w:line="360" w:lineRule="auto"/>
        <w:ind w:firstLine="720"/>
        <w:jc w:val="both"/>
      </w:pPr>
      <w:r>
        <w:rPr>
          <w:rFonts w:ascii="Times New Roman" w:hAnsi="Times New Roman" w:eastAsia="Times New Roman"/>
          <w:b w:val="0"/>
          <w:i w:val="0"/>
          <w:sz w:val="26"/>
        </w:rPr>
        <w:t>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240" w:after="120" w:line="360" w:lineRule="auto"/>
        <w:jc w:val="left"/>
      </w:pPr>
      <w:r>
        <w:rPr>
          <w:rFonts w:ascii="Times New Roman" w:hAnsi="Times New Roman" w:eastAsia="Times New Roman"/>
          <w:b/>
          <w:i w:val="0"/>
          <w:color w:val="000000"/>
          <w:sz w:val="26"/>
        </w:rPr>
        <w:t>2.10.2 Deep Learning for Financial Prediction and the Baseline Problem</w:t>
      </w:r>
    </w:p>
    <w:p>
      <w:pPr>
        <w:spacing w:after="120" w:before="0" w:line="360" w:lineRule="auto"/>
        <w:ind w:firstLine="720"/>
        <w:jc w:val="both"/>
      </w:pPr>
      <w:r>
        <w:rPr>
          <w:rFonts w:ascii="Times New Roman" w:hAnsi="Times New Roman" w:eastAsia="Times New Roman"/>
          <w:b w:val="0"/>
          <w:i w:val="0"/>
          <w:sz w:val="26"/>
        </w:rPr>
        <w:t>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after="120" w:before="0" w:line="360" w:lineRule="auto"/>
        <w:ind w:firstLine="720"/>
        <w:jc w:val="both"/>
      </w:pPr>
      <w:r>
        <w:rPr>
          <w:rFonts w:ascii="Times New Roman" w:hAnsi="Times New Roman" w:eastAsia="Times New Roman"/>
          <w:b w:val="0"/>
          <w:i w:val="0"/>
          <w:sz w:val="26"/>
        </w:rPr>
        <w:t>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240" w:after="120" w:line="360" w:lineRule="auto"/>
        <w:jc w:val="left"/>
      </w:pPr>
      <w:r>
        <w:rPr>
          <w:rFonts w:ascii="Times New Roman" w:hAnsi="Times New Roman" w:eastAsia="Times New Roman"/>
          <w:b/>
          <w:i w:val="0"/>
          <w:color w:val="000000"/>
          <w:sz w:val="26"/>
        </w:rPr>
        <w:t>2.10.3 Time-Series Validation and Leakage Control</w:t>
      </w:r>
    </w:p>
    <w:p>
      <w:pPr>
        <w:spacing w:after="120" w:before="0" w:line="360" w:lineRule="auto"/>
        <w:ind w:firstLine="720"/>
        <w:jc w:val="both"/>
      </w:pPr>
      <w:r>
        <w:rPr>
          <w:rFonts w:ascii="Times New Roman" w:hAnsi="Times New Roman" w:eastAsia="Times New Roman"/>
          <w:b w:val="0"/>
          <w:i w:val="0"/>
          <w:sz w:val="26"/>
        </w:rPr>
        <w:t>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after="120" w:before="0" w:line="360" w:lineRule="auto"/>
        <w:ind w:firstLine="720"/>
        <w:jc w:val="both"/>
      </w:pPr>
      <w:r>
        <w:rPr>
          <w:rFonts w:ascii="Times New Roman" w:hAnsi="Times New Roman" w:eastAsia="Times New Roman"/>
          <w:b w:val="0"/>
          <w:i w:val="0"/>
          <w:sz w:val="26"/>
        </w:rPr>
        <w:t>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240" w:after="120" w:line="360" w:lineRule="auto"/>
        <w:jc w:val="left"/>
      </w:pPr>
      <w:r>
        <w:rPr>
          <w:rFonts w:ascii="Times New Roman" w:hAnsi="Times New Roman" w:eastAsia="Times New Roman"/>
          <w:b/>
          <w:i w:val="0"/>
          <w:color w:val="000000"/>
          <w:sz w:val="26"/>
        </w:rPr>
        <w:t>2.10.4 Thesis Positioning</w:t>
      </w:r>
    </w:p>
    <w:p>
      <w:pPr>
        <w:spacing w:after="120" w:before="0" w:line="360" w:lineRule="auto"/>
        <w:ind w:firstLine="720"/>
        <w:jc w:val="both"/>
      </w:pPr>
      <w:r>
        <w:rPr>
          <w:rFonts w:ascii="Times New Roman" w:hAnsi="Times New Roman" w:eastAsia="Times New Roman"/>
          <w:b w:val="0"/>
          <w:i w:val="0"/>
          <w:sz w:val="26"/>
        </w:rPr>
        <w:t>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240" w:after="120" w:line="360" w:lineRule="auto"/>
        <w:jc w:val="left"/>
      </w:pPr>
      <w:r>
        <w:rPr>
          <w:rFonts w:ascii="Times New Roman" w:hAnsi="Times New Roman" w:eastAsia="Times New Roman"/>
          <w:b/>
          <w:i w:val="0"/>
          <w:color w:val="000000"/>
          <w:sz w:val="28"/>
        </w:rPr>
        <w:t>2.11 Finance LLMs: Capability Context, Not a Substitute for Evidence</w:t>
      </w:r>
    </w:p>
    <w:p>
      <w:pPr>
        <w:spacing w:after="120" w:before="0" w:line="360" w:lineRule="auto"/>
        <w:ind w:firstLine="720"/>
        <w:jc w:val="both"/>
      </w:pPr>
      <w:r>
        <w:rPr>
          <w:rFonts w:ascii="Times New Roman" w:hAnsi="Times New Roman" w:eastAsia="Times New Roman"/>
          <w:b w:val="0"/>
          <w:i w:val="0"/>
          <w:sz w:val="26"/>
        </w:rPr>
        <w:t>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after="120" w:before="0" w:line="360" w:lineRule="auto"/>
        <w:ind w:firstLine="720"/>
        <w:jc w:val="both"/>
      </w:pPr>
      <w:r>
        <w:rPr>
          <w:rFonts w:ascii="Times New Roman" w:hAnsi="Times New Roman" w:eastAsia="Times New Roman"/>
          <w:b w:val="0"/>
          <w:i w:val="0"/>
          <w:sz w:val="26"/>
        </w:rPr>
        <w:t>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240" w:after="120" w:line="360" w:lineRule="auto"/>
        <w:jc w:val="left"/>
      </w:pPr>
      <w:r>
        <w:rPr>
          <w:rFonts w:ascii="Times New Roman" w:hAnsi="Times New Roman" w:eastAsia="Times New Roman"/>
          <w:b/>
          <w:i w:val="0"/>
          <w:color w:val="000000"/>
          <w:sz w:val="28"/>
        </w:rPr>
        <w:t>2.12 Grounded Generation and Reliability-Aware Evaluation for Assistants</w:t>
      </w:r>
    </w:p>
    <w:p>
      <w:pPr>
        <w:spacing w:after="120" w:before="0" w:line="360" w:lineRule="auto"/>
        <w:ind w:firstLine="720"/>
        <w:jc w:val="both"/>
      </w:pPr>
      <w:r>
        <w:rPr>
          <w:rFonts w:ascii="Times New Roman" w:hAnsi="Times New Roman" w:eastAsia="Times New Roman"/>
          <w:b w:val="0"/>
          <w:i w:val="0"/>
          <w:sz w:val="26"/>
        </w:rPr>
        <w:t>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240" w:after="120" w:line="360" w:lineRule="auto"/>
        <w:jc w:val="left"/>
      </w:pPr>
      <w:r>
        <w:rPr>
          <w:rFonts w:ascii="Times New Roman" w:hAnsi="Times New Roman" w:eastAsia="Times New Roman"/>
          <w:b/>
          <w:i w:val="0"/>
          <w:color w:val="000000"/>
          <w:sz w:val="26"/>
        </w:rPr>
        <w:t>2.12.1 Grounding Is Necessary but Not Sufficient</w:t>
      </w:r>
    </w:p>
    <w:p>
      <w:pPr>
        <w:spacing w:after="120" w:before="0" w:line="360" w:lineRule="auto"/>
        <w:ind w:firstLine="720"/>
        <w:jc w:val="both"/>
      </w:pPr>
      <w:r>
        <w:rPr>
          <w:rFonts w:ascii="Times New Roman" w:hAnsi="Times New Roman" w:eastAsia="Times New Roman"/>
          <w:b w:val="0"/>
          <w:i w:val="0"/>
          <w:sz w:val="26"/>
        </w:rPr>
        <w:t>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240" w:after="120" w:line="360" w:lineRule="auto"/>
        <w:jc w:val="left"/>
      </w:pPr>
      <w:r>
        <w:rPr>
          <w:rFonts w:ascii="Times New Roman" w:hAnsi="Times New Roman" w:eastAsia="Times New Roman"/>
          <w:b/>
          <w:i w:val="0"/>
          <w:color w:val="000000"/>
          <w:sz w:val="26"/>
        </w:rPr>
        <w:t>2.12.2 Tool Use and Agentic Orchestration</w:t>
      </w:r>
    </w:p>
    <w:p>
      <w:pPr>
        <w:spacing w:after="120" w:before="0" w:line="360" w:lineRule="auto"/>
        <w:ind w:firstLine="720"/>
        <w:jc w:val="both"/>
      </w:pPr>
      <w:r>
        <w:rPr>
          <w:rFonts w:ascii="Times New Roman" w:hAnsi="Times New Roman" w:eastAsia="Times New Roman"/>
          <w:b w:val="0"/>
          <w:i w:val="0"/>
          <w:sz w:val="26"/>
        </w:rPr>
        <w:t>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after="120" w:before="0" w:line="360" w:lineRule="auto"/>
        <w:ind w:firstLine="720"/>
        <w:jc w:val="both"/>
      </w:pPr>
      <w:r>
        <w:rPr>
          <w:rFonts w:ascii="Times New Roman" w:hAnsi="Times New Roman" w:eastAsia="Times New Roman"/>
          <w:b w:val="0"/>
          <w:i w:val="0"/>
          <w:sz w:val="26"/>
        </w:rPr>
        <w:t>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240" w:after="120" w:line="360" w:lineRule="auto"/>
        <w:jc w:val="left"/>
      </w:pPr>
      <w:r>
        <w:rPr>
          <w:rFonts w:ascii="Times New Roman" w:hAnsi="Times New Roman" w:eastAsia="Times New Roman"/>
          <w:b/>
          <w:i w:val="0"/>
          <w:color w:val="000000"/>
          <w:sz w:val="28"/>
        </w:rPr>
        <w:t>2.13 Synthesis: Design Implications for QuantVN Strategy Forge</w:t>
      </w:r>
    </w:p>
    <w:p>
      <w:pPr>
        <w:spacing w:after="120" w:before="0" w:line="360" w:lineRule="auto"/>
        <w:ind w:firstLine="720"/>
        <w:jc w:val="both"/>
      </w:pPr>
      <w:r>
        <w:rPr>
          <w:rFonts w:ascii="Times New Roman" w:hAnsi="Times New Roman" w:eastAsia="Times New Roman"/>
          <w:b w:val="0"/>
          <w:i w:val="0"/>
          <w:sz w:val="26"/>
        </w:rPr>
        <w:t>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after="120" w:before="0" w:line="360" w:lineRule="auto"/>
        <w:ind w:firstLine="720"/>
        <w:jc w:val="both"/>
      </w:pPr>
      <w:r>
        <w:rPr>
          <w:rFonts w:ascii="Times New Roman" w:hAnsi="Times New Roman" w:eastAsia="Times New Roman"/>
          <w:b w:val="0"/>
          <w:i w:val="0"/>
          <w:sz w:val="26"/>
        </w:rPr>
        <w:t>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after="120" w:before="0" w:line="360" w:lineRule="auto"/>
        <w:ind w:firstLine="720"/>
        <w:jc w:val="both"/>
      </w:pPr>
      <w:r>
        <w:rPr>
          <w:rFonts w:ascii="Times New Roman" w:hAnsi="Times New Roman" w:eastAsia="Times New Roman"/>
          <w:b w:val="0"/>
          <w:i w:val="0"/>
          <w:sz w:val="26"/>
        </w:rPr>
        <w:t>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after="120" w:before="0" w:line="360" w:lineRule="auto"/>
        <w:ind w:firstLine="720"/>
        <w:jc w:val="both"/>
      </w:pPr>
      <w:r>
        <w:rPr>
          <w:rFonts w:ascii="Times New Roman" w:hAnsi="Times New Roman" w:eastAsia="Times New Roman"/>
          <w:b w:val="0"/>
          <w:i w:val="0"/>
          <w:sz w:val="26"/>
        </w:rPr>
        <w:t>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after="120" w:before="240" w:line="360" w:lineRule="auto"/>
        <w:jc w:val="center"/>
      </w:pPr>
      <w:r>
        <w:drawing>
          <wp:inline xmlns:a="http://schemas.openxmlformats.org/drawingml/2006/main" xmlns:pic="http://schemas.openxmlformats.org/drawingml/2006/picture">
            <wp:extent cx="5040000" cy="2051757"/>
            <wp:docPr id="9" name="Picture 9"/>
            <wp:cNvGraphicFramePr>
              <a:graphicFrameLocks noChangeAspect="1"/>
            </wp:cNvGraphicFramePr>
            <a:graphic>
              <a:graphicData uri="http://schemas.openxmlformats.org/drawingml/2006/picture">
                <pic:pic>
                  <pic:nvPicPr>
                    <pic:cNvPr id="0" name="fig_2_2.png"/>
                    <pic:cNvPicPr/>
                  </pic:nvPicPr>
                  <pic:blipFill>
                    <a:blip r:embed="rId8"/>
                    <a:stretch>
                      <a:fillRect/>
                    </a:stretch>
                  </pic:blipFill>
                  <pic:spPr>
                    <a:xfrm>
                      <a:off x="0" y="0"/>
                      <a:ext cx="5040000" cy="2051757"/>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2.2: Literature-to-design map (from finance theory to system requirements).</w:t>
      </w:r>
    </w:p>
    <w:p>
      <w:pPr>
        <w:spacing w:after="120" w:before="0" w:line="360" w:lineRule="auto"/>
        <w:ind w:firstLine="720"/>
        <w:jc w:val="both"/>
      </w:pPr>
      <w:r>
        <w:rPr>
          <w:rFonts w:ascii="Times New Roman" w:hAnsi="Times New Roman" w:eastAsia="Times New Roman"/>
          <w:b w:val="0"/>
          <w:i w:val="0"/>
          <w:sz w:val="26"/>
        </w:rPr>
        <w:t>Chapter 3 translates these implications into the system architecture and methodology of QuantVN Strategy Forge, and Chapter 4 reports implementation-linked evaluation results using reproducible gate suites.</w:t>
      </w:r>
    </w:p>
    <w:p>
      <w:pPr>
        <w:spacing w:after="120" w:before="0" w:line="360" w:lineRule="auto"/>
        <w:ind w:firstLine="720"/>
        <w:jc w:val="both"/>
      </w:pPr>
      <w:r>
        <w:rPr>
          <w:rFonts w:ascii="Times New Roman" w:hAnsi="Times New Roman" w:eastAsia="Times New Roman"/>
          <w:b w:val="0"/>
          <w:i w:val="0"/>
          <w:sz w:val="26"/>
        </w:rPr>
        <w:t>The goal is a system whose outputs remain defensible under scrutiny and rerunnable over time.</w:t>
      </w:r>
    </w:p>
    <w:p>
      <w:r>
        <w:br w:type="page"/>
      </w:r>
    </w:p>
    <w:p>
      <w:pPr>
        <w:spacing w:before="360" w:after="120" w:line="360" w:lineRule="auto"/>
        <w:jc w:val="left"/>
      </w:pPr>
      <w:r>
        <w:rPr>
          <w:rFonts w:ascii="Times New Roman" w:hAnsi="Times New Roman" w:eastAsia="Times New Roman"/>
          <w:b/>
          <w:i w:val="0"/>
          <w:color w:val="000000"/>
          <w:sz w:val="32"/>
        </w:rPr>
        <w:t>Chapter 3: System Design and Methodology</w:t>
      </w:r>
    </w:p>
    <w:p>
      <w:pPr>
        <w:spacing w:before="240" w:after="120" w:line="360" w:lineRule="auto"/>
        <w:jc w:val="left"/>
      </w:pPr>
      <w:r>
        <w:rPr>
          <w:rFonts w:ascii="Times New Roman" w:hAnsi="Times New Roman" w:eastAsia="Times New Roman"/>
          <w:b/>
          <w:i w:val="0"/>
          <w:color w:val="000000"/>
          <w:sz w:val="28"/>
        </w:rPr>
        <w:t>3.0 Research Design and Method: From Literature to System Design</w:t>
      </w:r>
    </w:p>
    <w:p>
      <w:pPr>
        <w:spacing w:after="120" w:before="0" w:line="360" w:lineRule="auto"/>
        <w:ind w:firstLine="720"/>
        <w:jc w:val="both"/>
      </w:pPr>
      <w:r>
        <w:rPr>
          <w:rFonts w:ascii="Times New Roman" w:hAnsi="Times New Roman" w:eastAsia="Times New Roman"/>
          <w:b w:val="0"/>
          <w:i w:val="0"/>
          <w:sz w:val="26"/>
        </w:rPr>
        <w:t>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240" w:after="120" w:line="360" w:lineRule="auto"/>
        <w:jc w:val="left"/>
      </w:pPr>
      <w:r>
        <w:rPr>
          <w:rFonts w:ascii="Times New Roman" w:hAnsi="Times New Roman" w:eastAsia="Times New Roman"/>
          <w:b/>
          <w:i w:val="0"/>
          <w:color w:val="000000"/>
          <w:sz w:val="26"/>
        </w:rPr>
        <w:t>3.0.1 Methodological Approach (Applied Engineering Research)</w:t>
      </w:r>
    </w:p>
    <w:p>
      <w:pPr>
        <w:spacing w:after="120" w:before="0" w:line="360" w:lineRule="auto"/>
        <w:ind w:firstLine="720"/>
        <w:jc w:val="both"/>
      </w:pPr>
      <w:r>
        <w:rPr>
          <w:rFonts w:ascii="Times New Roman" w:hAnsi="Times New Roman" w:eastAsia="Times New Roman"/>
          <w:b w:val="0"/>
          <w:i w:val="0"/>
          <w:sz w:val="26"/>
        </w:rPr>
        <w:t>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240" w:after="120" w:line="360" w:lineRule="auto"/>
        <w:jc w:val="left"/>
      </w:pPr>
      <w:r>
        <w:rPr>
          <w:rFonts w:ascii="Times New Roman" w:hAnsi="Times New Roman" w:eastAsia="Times New Roman"/>
          <w:b/>
          <w:i w:val="0"/>
          <w:color w:val="000000"/>
          <w:sz w:val="26"/>
        </w:rPr>
        <w:t>3.0.2 Operationalising Research Questions and Hypotheses</w:t>
      </w:r>
    </w:p>
    <w:p>
      <w:pPr>
        <w:spacing w:after="120" w:before="0" w:line="360" w:lineRule="auto"/>
        <w:ind w:firstLine="720"/>
        <w:jc w:val="both"/>
      </w:pPr>
      <w:r>
        <w:rPr>
          <w:rFonts w:ascii="Times New Roman" w:hAnsi="Times New Roman" w:eastAsia="Times New Roman"/>
          <w:b w:val="0"/>
          <w:i w:val="0"/>
          <w:sz w:val="26"/>
        </w:rPr>
        <w:t>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after="120" w:before="0" w:line="360" w:lineRule="auto"/>
        <w:ind w:firstLine="720"/>
        <w:jc w:val="both"/>
      </w:pPr>
      <w:r>
        <w:rPr>
          <w:rFonts w:ascii="Times New Roman" w:hAnsi="Times New Roman" w:eastAsia="Times New Roman"/>
          <w:b w:val="0"/>
          <w:i w:val="0"/>
          <w:sz w:val="26"/>
        </w:rPr>
        <w:t>Table 3.1 summarises how the thesis hypotheses map to the evaluation system described in Section 3.6 and the evaluation-gates specification used for reproducible runs.</w:t>
      </w:r>
    </w:p>
    <w:p>
      <w:pPr>
        <w:spacing w:after="120" w:before="0" w:line="360" w:lineRule="auto"/>
        <w:ind w:firstLine="720"/>
        <w:jc w:val="both"/>
      </w:pPr>
      <w:r>
        <w:rPr>
          <w:rFonts w:ascii="Times New Roman" w:hAnsi="Times New Roman" w:eastAsia="Times New Roman"/>
          <w:b w:val="0"/>
          <w:i w:val="0"/>
          <w:sz w:val="26"/>
        </w:rPr>
        <w:t>Table 3.1: Mapping hypotheses to evaluation gates and measurable signals.</w:t>
      </w:r>
    </w:p>
    <w:p>
      <w:pPr>
        <w:spacing w:after="120" w:before="240" w:line="360" w:lineRule="auto"/>
        <w:jc w:val="center"/>
      </w:pPr>
      <w:r>
        <w:rPr>
          <w:rFonts w:ascii="Times New Roman" w:hAnsi="Times New Roman" w:eastAsia="Times New Roman"/>
          <w:b/>
          <w:i w:val="0"/>
          <w:sz w:val="24"/>
        </w:rPr>
        <w:t>Table 3.1: Mapping hypotheses to evaluation gates and measurable signals.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fill="D9E2F3" w:val="clear"/>
          </w:tcPr>
          <w:p>
            <w:pPr>
              <w:jc w:val="center"/>
            </w:pPr>
            <w:r/>
            <w:r>
              <w:rPr>
                <w:rFonts w:ascii="Times New Roman" w:hAnsi="Times New Roman" w:eastAsia="Times New Roman"/>
                <w:b/>
                <w:i w:val="0"/>
                <w:sz w:val="22"/>
              </w:rPr>
              <w:t>Hypothesis (Chapter 1)</w:t>
            </w:r>
          </w:p>
        </w:tc>
        <w:tc>
          <w:tcPr>
            <w:tcW w:type="dxa" w:w="3024"/>
            <w:shd w:fill="D9E2F3" w:val="clear"/>
          </w:tcPr>
          <w:p>
            <w:pPr>
              <w:jc w:val="center"/>
            </w:pPr>
            <w:r/>
            <w:r>
              <w:rPr>
                <w:rFonts w:ascii="Times New Roman" w:hAnsi="Times New Roman" w:eastAsia="Times New Roman"/>
                <w:b/>
                <w:i w:val="0"/>
                <w:sz w:val="22"/>
              </w:rPr>
              <w:t>Primary measurement focus</w:t>
            </w:r>
          </w:p>
        </w:tc>
        <w:tc>
          <w:tcPr>
            <w:tcW w:type="dxa" w:w="3024"/>
            <w:shd w:fill="D9E2F3" w:val="clear"/>
          </w:tcPr>
          <w:p>
            <w:pPr>
              <w:jc w:val="center"/>
            </w:pPr>
            <w:r/>
            <w:r>
              <w:rPr>
                <w:rFonts w:ascii="Times New Roman" w:hAnsi="Times New Roman" w:eastAsia="Times New Roman"/>
                <w:b/>
                <w:i w:val="0"/>
                <w:sz w:val="22"/>
              </w:rPr>
              <w:t>Where it is enforced/measured</w:t>
            </w:r>
          </w:p>
        </w:tc>
      </w:tr>
      <w:tr>
        <w:tc>
          <w:tcPr>
            <w:tcW w:type="dxa" w:w="3024"/>
          </w:tcPr>
          <w:p>
            <w:pPr>
              <w:jc w:val="left"/>
            </w:pPr>
            <w:r/>
            <w:r>
              <w:rPr>
                <w:rFonts w:ascii="Times New Roman" w:hAnsi="Times New Roman" w:eastAsia="Times New Roman"/>
                <w:b w:val="0"/>
                <w:i w:val="0"/>
                <w:sz w:val="22"/>
              </w:rPr>
              <w:t>H1 (Data reliability)</w:t>
            </w:r>
          </w:p>
        </w:tc>
        <w:tc>
          <w:tcPr>
            <w:tcW w:type="dxa" w:w="3024"/>
          </w:tcPr>
          <w:p>
            <w:pPr>
              <w:jc w:val="left"/>
            </w:pPr>
            <w:r/>
            <w:r>
              <w:rPr>
                <w:rFonts w:ascii="Times New Roman" w:hAnsi="Times New Roman" w:eastAsia="Times New Roman"/>
                <w:b w:val="0"/>
                <w:i w:val="0"/>
                <w:sz w:val="22"/>
              </w:rPr>
              <w:t>Data readiness, manifest and integrity gates, controlled failure</w:t>
            </w:r>
          </w:p>
        </w:tc>
        <w:tc>
          <w:tcPr>
            <w:tcW w:type="dxa" w:w="3024"/>
          </w:tcPr>
          <w:p>
            <w:pPr>
              <w:jc w:val="left"/>
            </w:pPr>
            <w:r/>
            <w:r>
              <w:rPr>
                <w:rFonts w:ascii="Times New Roman" w:hAnsi="Times New Roman" w:eastAsia="Times New Roman"/>
                <w:b w:val="0"/>
                <w:i w:val="0"/>
                <w:sz w:val="22"/>
              </w:rPr>
              <w:t>Data health checks, runtime loader gates, manifest checks (Gate A/B)</w:t>
            </w:r>
          </w:p>
        </w:tc>
      </w:tr>
      <w:tr>
        <w:tc>
          <w:tcPr>
            <w:tcW w:type="dxa" w:w="3024"/>
          </w:tcPr>
          <w:p>
            <w:pPr>
              <w:jc w:val="left"/>
            </w:pPr>
            <w:r/>
            <w:r>
              <w:rPr>
                <w:rFonts w:ascii="Times New Roman" w:hAnsi="Times New Roman" w:eastAsia="Times New Roman"/>
                <w:b w:val="0"/>
                <w:i w:val="0"/>
                <w:sz w:val="22"/>
              </w:rPr>
              <w:t>H2 (Diagnostics)</w:t>
            </w:r>
          </w:p>
        </w:tc>
        <w:tc>
          <w:tcPr>
            <w:tcW w:type="dxa" w:w="3024"/>
          </w:tcPr>
          <w:p>
            <w:pPr>
              <w:jc w:val="left"/>
            </w:pPr>
            <w:r/>
            <w:r>
              <w:rPr>
                <w:rFonts w:ascii="Times New Roman" w:hAnsi="Times New Roman" w:eastAsia="Times New Roman"/>
                <w:b w:val="0"/>
                <w:i w:val="0"/>
                <w:sz w:val="22"/>
              </w:rPr>
              <w:t>Presence and completeness of diagnostics and exclusion reasons</w:t>
            </w:r>
          </w:p>
        </w:tc>
        <w:tc>
          <w:tcPr>
            <w:tcW w:type="dxa" w:w="3024"/>
          </w:tcPr>
          <w:p>
            <w:pPr>
              <w:jc w:val="left"/>
            </w:pPr>
            <w:r/>
            <w:r>
              <w:rPr>
                <w:rFonts w:ascii="Times New Roman" w:hAnsi="Times New Roman" w:eastAsia="Times New Roman"/>
                <w:b w:val="0"/>
                <w:i w:val="0"/>
                <w:sz w:val="22"/>
              </w:rPr>
              <w:t>Diagnostics included in quantitative service responses (Gate C)</w:t>
            </w:r>
          </w:p>
        </w:tc>
      </w:tr>
      <w:tr>
        <w:tc>
          <w:tcPr>
            <w:tcW w:type="dxa" w:w="3024"/>
          </w:tcPr>
          <w:p>
            <w:pPr>
              <w:jc w:val="left"/>
            </w:pPr>
            <w:r/>
            <w:r>
              <w:rPr>
                <w:rFonts w:ascii="Times New Roman" w:hAnsi="Times New Roman" w:eastAsia="Times New Roman"/>
                <w:b w:val="0"/>
                <w:i w:val="0"/>
                <w:sz w:val="22"/>
              </w:rPr>
              <w:t>H3 (Grounded assistant)</w:t>
            </w:r>
          </w:p>
        </w:tc>
        <w:tc>
          <w:tcPr>
            <w:tcW w:type="dxa" w:w="3024"/>
          </w:tcPr>
          <w:p>
            <w:pPr>
              <w:jc w:val="left"/>
            </w:pPr>
            <w:r/>
            <w:r>
              <w:rPr>
                <w:rFonts w:ascii="Times New Roman" w:hAnsi="Times New Roman" w:eastAsia="Times New Roman"/>
                <w:b w:val="0"/>
                <w:i w:val="0"/>
                <w:sz w:val="22"/>
              </w:rPr>
              <w:t>Reduction of unsupported numeric claims</w:t>
            </w:r>
          </w:p>
        </w:tc>
        <w:tc>
          <w:tcPr>
            <w:tcW w:type="dxa" w:w="3024"/>
          </w:tcPr>
          <w:p>
            <w:pPr>
              <w:jc w:val="left"/>
            </w:pPr>
            <w:r/>
            <w:r>
              <w:rPr>
                <w:rFonts w:ascii="Times New Roman" w:hAnsi="Times New Roman" w:eastAsia="Times New Roman"/>
                <w:b w:val="0"/>
                <w:i w:val="0"/>
                <w:sz w:val="22"/>
              </w:rPr>
              <w:t>Assistant evaluation metrics computed from grounded evidence checks (Gate E)</w:t>
            </w:r>
          </w:p>
        </w:tc>
      </w:tr>
      <w:tr>
        <w:tc>
          <w:tcPr>
            <w:tcW w:type="dxa" w:w="3024"/>
          </w:tcPr>
          <w:p>
            <w:pPr>
              <w:jc w:val="left"/>
            </w:pPr>
            <w:r/>
            <w:r>
              <w:rPr>
                <w:rFonts w:ascii="Times New Roman" w:hAnsi="Times New Roman" w:eastAsia="Times New Roman"/>
                <w:b w:val="0"/>
                <w:i w:val="0"/>
                <w:sz w:val="22"/>
              </w:rPr>
              <w:t>H4 (Abstention trade-off)</w:t>
            </w:r>
          </w:p>
        </w:tc>
        <w:tc>
          <w:tcPr>
            <w:tcW w:type="dxa" w:w="3024"/>
          </w:tcPr>
          <w:p>
            <w:pPr>
              <w:jc w:val="left"/>
            </w:pPr>
            <w:r/>
            <w:r>
              <w:rPr>
                <w:rFonts w:ascii="Times New Roman" w:hAnsi="Times New Roman" w:eastAsia="Times New Roman"/>
                <w:b w:val="0"/>
                <w:i w:val="0"/>
                <w:sz w:val="22"/>
              </w:rPr>
              <w:t>Abstention correctness vs coverage across policy modes</w:t>
            </w:r>
          </w:p>
        </w:tc>
        <w:tc>
          <w:tcPr>
            <w:tcW w:type="dxa" w:w="3024"/>
          </w:tcPr>
          <w:p>
            <w:pPr>
              <w:jc w:val="left"/>
            </w:pPr>
            <w:r/>
            <w:r>
              <w:rPr>
                <w:rFonts w:ascii="Times New Roman" w:hAnsi="Times New Roman" w:eastAsia="Times New Roman"/>
                <w:b w:val="0"/>
                <w:i w:val="0"/>
                <w:sz w:val="22"/>
              </w:rPr>
              <w:t>Comparative evaluation across policy modes, with abstention and coverage reporting (Gate E)</w:t>
            </w:r>
          </w:p>
        </w:tc>
      </w:tr>
      <w:tr>
        <w:tc>
          <w:tcPr>
            <w:tcW w:type="dxa" w:w="3024"/>
          </w:tcPr>
          <w:p>
            <w:pPr>
              <w:jc w:val="left"/>
            </w:pPr>
            <w:r/>
            <w:r>
              <w:rPr>
                <w:rFonts w:ascii="Times New Roman" w:hAnsi="Times New Roman" w:eastAsia="Times New Roman"/>
                <w:b w:val="0"/>
                <w:i w:val="0"/>
                <w:sz w:val="22"/>
              </w:rPr>
              <w:t>H5 (Operational evaluation)</w:t>
            </w:r>
          </w:p>
        </w:tc>
        <w:tc>
          <w:tcPr>
            <w:tcW w:type="dxa" w:w="3024"/>
          </w:tcPr>
          <w:p>
            <w:pPr>
              <w:jc w:val="left"/>
            </w:pPr>
            <w:r/>
            <w:r>
              <w:rPr>
                <w:rFonts w:ascii="Times New Roman" w:hAnsi="Times New Roman" w:eastAsia="Times New Roman"/>
                <w:b w:val="0"/>
                <w:i w:val="0"/>
                <w:sz w:val="22"/>
              </w:rPr>
              <w:t>Regression detection and reproducible artifacts</w:t>
            </w:r>
          </w:p>
        </w:tc>
        <w:tc>
          <w:tcPr>
            <w:tcW w:type="dxa" w:w="3024"/>
          </w:tcPr>
          <w:p>
            <w:pPr>
              <w:jc w:val="left"/>
            </w:pPr>
            <w:r/>
            <w:r>
              <w:rPr>
                <w:rFonts w:ascii="Times New Roman" w:hAnsi="Times New Roman" w:eastAsia="Times New Roman"/>
                <w:b w:val="0"/>
                <w:i w:val="0"/>
                <w:sz w:val="22"/>
              </w:rPr>
              <w:t>Scriptable acceptance gates and archived evaluation artifacts (Gate 0/F)</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The design is organised around the end-to-end quantitative research cycle introduced in Chapter 2 (data -&gt; signals -&gt; backtests -&gt; portfolios/risk -&gt; monitoring). Table 3.2 maps each stage to the modules that operationalise it in QuantVN Strategy Forge.</w:t>
      </w:r>
    </w:p>
    <w:p>
      <w:pPr>
        <w:spacing w:after="120" w:before="0" w:line="360" w:lineRule="auto"/>
        <w:ind w:firstLine="720"/>
        <w:jc w:val="both"/>
      </w:pPr>
      <w:r>
        <w:rPr>
          <w:rFonts w:ascii="Times New Roman" w:hAnsi="Times New Roman" w:eastAsia="Times New Roman"/>
          <w:b w:val="0"/>
          <w:i w:val="0"/>
          <w:sz w:val="26"/>
        </w:rPr>
        <w:t>Table 3.2: Mapping the quantitative research cycle to system components.</w:t>
      </w:r>
    </w:p>
    <w:p>
      <w:pPr>
        <w:spacing w:after="120" w:before="240" w:line="360" w:lineRule="auto"/>
        <w:jc w:val="center"/>
      </w:pPr>
      <w:r>
        <w:rPr>
          <w:rFonts w:ascii="Times New Roman" w:hAnsi="Times New Roman" w:eastAsia="Times New Roman"/>
          <w:b/>
          <w:i w:val="0"/>
          <w:sz w:val="24"/>
        </w:rPr>
        <w:t>Table 3.2: Mapping the quantitative research cycle to system components.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fill="D9E2F3" w:val="clear"/>
          </w:tcPr>
          <w:p>
            <w:pPr>
              <w:jc w:val="center"/>
            </w:pPr>
            <w:r/>
            <w:r>
              <w:rPr>
                <w:rFonts w:ascii="Times New Roman" w:hAnsi="Times New Roman" w:eastAsia="Times New Roman"/>
                <w:b/>
                <w:i w:val="0"/>
                <w:sz w:val="22"/>
              </w:rPr>
              <w:t>Cycle stage (Chapter 2)</w:t>
            </w:r>
          </w:p>
        </w:tc>
        <w:tc>
          <w:tcPr>
            <w:tcW w:type="dxa" w:w="3024"/>
            <w:shd w:fill="D9E2F3" w:val="clear"/>
          </w:tcPr>
          <w:p>
            <w:pPr>
              <w:jc w:val="center"/>
            </w:pPr>
            <w:r/>
            <w:r>
              <w:rPr>
                <w:rFonts w:ascii="Times New Roman" w:hAnsi="Times New Roman" w:eastAsia="Times New Roman"/>
                <w:b/>
                <w:i w:val="0"/>
                <w:sz w:val="22"/>
              </w:rPr>
              <w:t>System responsibility</w:t>
            </w:r>
          </w:p>
        </w:tc>
        <w:tc>
          <w:tcPr>
            <w:tcW w:type="dxa" w:w="3024"/>
            <w:shd w:fill="D9E2F3" w:val="clear"/>
          </w:tcPr>
          <w:p>
            <w:pPr>
              <w:jc w:val="center"/>
            </w:pPr>
            <w:r/>
            <w:r>
              <w:rPr>
                <w:rFonts w:ascii="Times New Roman" w:hAnsi="Times New Roman" w:eastAsia="Times New Roman"/>
                <w:b/>
                <w:i w:val="0"/>
                <w:sz w:val="22"/>
              </w:rPr>
              <w:t>Implemented by (system components)</w:t>
            </w:r>
          </w:p>
        </w:tc>
      </w:tr>
      <w:tr>
        <w:tc>
          <w:tcPr>
            <w:tcW w:type="dxa" w:w="3024"/>
          </w:tcPr>
          <w:p>
            <w:pPr>
              <w:jc w:val="left"/>
            </w:pPr>
            <w:r/>
            <w:r>
              <w:rPr>
                <w:rFonts w:ascii="Times New Roman" w:hAnsi="Times New Roman" w:eastAsia="Times New Roman"/>
                <w:b w:val="0"/>
                <w:i w:val="0"/>
                <w:sz w:val="22"/>
              </w:rPr>
              <w:t>Data integrity</w:t>
            </w:r>
          </w:p>
        </w:tc>
        <w:tc>
          <w:tcPr>
            <w:tcW w:type="dxa" w:w="3024"/>
          </w:tcPr>
          <w:p>
            <w:pPr>
              <w:jc w:val="left"/>
            </w:pPr>
            <w:r/>
            <w:r>
              <w:rPr>
                <w:rFonts w:ascii="Times New Roman" w:hAnsi="Times New Roman" w:eastAsia="Times New Roman"/>
                <w:b w:val="0"/>
                <w:i w:val="0"/>
                <w:sz w:val="22"/>
              </w:rPr>
              <w:t>Prepare runtime datasets and enforce a runtime contract</w:t>
            </w:r>
          </w:p>
        </w:tc>
        <w:tc>
          <w:tcPr>
            <w:tcW w:type="dxa" w:w="3024"/>
          </w:tcPr>
          <w:p>
            <w:pPr>
              <w:jc w:val="left"/>
            </w:pPr>
            <w:r/>
            <w:r>
              <w:rPr>
                <w:rFonts w:ascii="Times New Roman" w:hAnsi="Times New Roman" w:eastAsia="Times New Roman"/>
                <w:b w:val="0"/>
                <w:i w:val="0"/>
                <w:sz w:val="22"/>
              </w:rPr>
              <w:t>Offline preparation pipeline, runtime manifest and loader gates, data health checks</w:t>
            </w:r>
          </w:p>
        </w:tc>
      </w:tr>
      <w:tr>
        <w:tc>
          <w:tcPr>
            <w:tcW w:type="dxa" w:w="3024"/>
          </w:tcPr>
          <w:p>
            <w:pPr>
              <w:jc w:val="left"/>
            </w:pPr>
            <w:r/>
            <w:r>
              <w:rPr>
                <w:rFonts w:ascii="Times New Roman" w:hAnsi="Times New Roman" w:eastAsia="Times New Roman"/>
                <w:b w:val="0"/>
                <w:i w:val="0"/>
                <w:sz w:val="22"/>
              </w:rPr>
              <w:t>Feature construction</w:t>
            </w:r>
          </w:p>
        </w:tc>
        <w:tc>
          <w:tcPr>
            <w:tcW w:type="dxa" w:w="3024"/>
          </w:tcPr>
          <w:p>
            <w:pPr>
              <w:jc w:val="left"/>
            </w:pPr>
            <w:r/>
            <w:r>
              <w:rPr>
                <w:rFonts w:ascii="Times New Roman" w:hAnsi="Times New Roman" w:eastAsia="Times New Roman"/>
                <w:b w:val="0"/>
                <w:i w:val="0"/>
                <w:sz w:val="22"/>
              </w:rPr>
              <w:t>Provide deterministic indicators, factor inputs, and derived series</w:t>
            </w:r>
          </w:p>
        </w:tc>
        <w:tc>
          <w:tcPr>
            <w:tcW w:type="dxa" w:w="3024"/>
          </w:tcPr>
          <w:p>
            <w:pPr>
              <w:jc w:val="left"/>
            </w:pPr>
            <w:r/>
            <w:r>
              <w:rPr>
                <w:rFonts w:ascii="Times New Roman" w:hAnsi="Times New Roman" w:eastAsia="Times New Roman"/>
                <w:b w:val="0"/>
                <w:i w:val="0"/>
                <w:sz w:val="22"/>
              </w:rPr>
              <w:t>Deterministic indicator and factor calculators exposed through internal services</w:t>
            </w:r>
          </w:p>
        </w:tc>
      </w:tr>
      <w:tr>
        <w:tc>
          <w:tcPr>
            <w:tcW w:type="dxa" w:w="3024"/>
          </w:tcPr>
          <w:p>
            <w:pPr>
              <w:jc w:val="left"/>
            </w:pPr>
            <w:r/>
            <w:r>
              <w:rPr>
                <w:rFonts w:ascii="Times New Roman" w:hAnsi="Times New Roman" w:eastAsia="Times New Roman"/>
                <w:b w:val="0"/>
                <w:i w:val="0"/>
                <w:sz w:val="22"/>
              </w:rPr>
              <w:t>Backtesting discipline</w:t>
            </w:r>
          </w:p>
        </w:tc>
        <w:tc>
          <w:tcPr>
            <w:tcW w:type="dxa" w:w="3024"/>
          </w:tcPr>
          <w:p>
            <w:pPr>
              <w:jc w:val="left"/>
            </w:pPr>
            <w:r/>
            <w:r>
              <w:rPr>
                <w:rFonts w:ascii="Times New Roman" w:hAnsi="Times New Roman" w:eastAsia="Times New Roman"/>
                <w:b w:val="0"/>
                <w:i w:val="0"/>
                <w:sz w:val="22"/>
              </w:rPr>
              <w:t>Simulate strategies with explicit execution and cost assumptions, plus diagnostics</w:t>
            </w:r>
          </w:p>
        </w:tc>
        <w:tc>
          <w:tcPr>
            <w:tcW w:type="dxa" w:w="3024"/>
          </w:tcPr>
          <w:p>
            <w:pPr>
              <w:jc w:val="left"/>
            </w:pPr>
            <w:r/>
            <w:r>
              <w:rPr>
                <w:rFonts w:ascii="Times New Roman" w:hAnsi="Times New Roman" w:eastAsia="Times New Roman"/>
                <w:b w:val="0"/>
                <w:i w:val="0"/>
                <w:sz w:val="22"/>
              </w:rPr>
              <w:t>Backtesting engine, backtesting services, Strategy Lab run workflow</w:t>
            </w:r>
          </w:p>
        </w:tc>
      </w:tr>
      <w:tr>
        <w:tc>
          <w:tcPr>
            <w:tcW w:type="dxa" w:w="3024"/>
          </w:tcPr>
          <w:p>
            <w:pPr>
              <w:jc w:val="left"/>
            </w:pPr>
            <w:r/>
            <w:r>
              <w:rPr>
                <w:rFonts w:ascii="Times New Roman" w:hAnsi="Times New Roman" w:eastAsia="Times New Roman"/>
                <w:b w:val="0"/>
                <w:i w:val="0"/>
                <w:sz w:val="22"/>
              </w:rPr>
              <w:t>Portfolios and risk</w:t>
            </w:r>
          </w:p>
        </w:tc>
        <w:tc>
          <w:tcPr>
            <w:tcW w:type="dxa" w:w="3024"/>
          </w:tcPr>
          <w:p>
            <w:pPr>
              <w:jc w:val="left"/>
            </w:pPr>
            <w:r/>
            <w:r>
              <w:rPr>
                <w:rFonts w:ascii="Times New Roman" w:hAnsi="Times New Roman" w:eastAsia="Times New Roman"/>
                <w:b w:val="0"/>
                <w:i w:val="0"/>
                <w:sz w:val="22"/>
              </w:rPr>
              <w:t>Allocate capital and report risk under aligned time series and policy constraints</w:t>
            </w:r>
          </w:p>
        </w:tc>
        <w:tc>
          <w:tcPr>
            <w:tcW w:type="dxa" w:w="3024"/>
          </w:tcPr>
          <w:p>
            <w:pPr>
              <w:jc w:val="left"/>
            </w:pPr>
            <w:r/>
            <w:r>
              <w:rPr>
                <w:rFonts w:ascii="Times New Roman" w:hAnsi="Times New Roman" w:eastAsia="Times New Roman"/>
                <w:b w:val="0"/>
                <w:i w:val="0"/>
                <w:sz w:val="22"/>
              </w:rPr>
              <w:t>Portfolio optimisation and risk analytics services with exclusion policies</w:t>
            </w:r>
          </w:p>
        </w:tc>
      </w:tr>
      <w:tr>
        <w:tc>
          <w:tcPr>
            <w:tcW w:type="dxa" w:w="3024"/>
          </w:tcPr>
          <w:p>
            <w:pPr>
              <w:jc w:val="left"/>
            </w:pPr>
            <w:r/>
            <w:r>
              <w:rPr>
                <w:rFonts w:ascii="Times New Roman" w:hAnsi="Times New Roman" w:eastAsia="Times New Roman"/>
                <w:b w:val="0"/>
                <w:i w:val="0"/>
                <w:sz w:val="22"/>
              </w:rPr>
              <w:t>Monitoring and iteration</w:t>
            </w:r>
          </w:p>
        </w:tc>
        <w:tc>
          <w:tcPr>
            <w:tcW w:type="dxa" w:w="3024"/>
          </w:tcPr>
          <w:p>
            <w:pPr>
              <w:jc w:val="left"/>
            </w:pPr>
            <w:r/>
            <w:r>
              <w:rPr>
                <w:rFonts w:ascii="Times New Roman" w:hAnsi="Times New Roman" w:eastAsia="Times New Roman"/>
                <w:b w:val="0"/>
                <w:i w:val="0"/>
                <w:sz w:val="22"/>
              </w:rPr>
              <w:t>Detect regressions and enforce acceptance gates for reliability-critical behaviour</w:t>
            </w:r>
          </w:p>
        </w:tc>
        <w:tc>
          <w:tcPr>
            <w:tcW w:type="dxa" w:w="3024"/>
          </w:tcPr>
          <w:p>
            <w:pPr>
              <w:jc w:val="left"/>
            </w:pPr>
            <w:r/>
            <w:r>
              <w:rPr>
                <w:rFonts w:ascii="Times New Roman" w:hAnsi="Times New Roman" w:eastAsia="Times New Roman"/>
                <w:b w:val="0"/>
                <w:i w:val="0"/>
                <w:sz w:val="22"/>
              </w:rPr>
              <w:t>Acceptance-gate evaluation suites that generate machine-readable artifacts</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Implementation traceability (a code-to-text map) is provided in Appendix A for auditability.</w:t>
      </w:r>
    </w:p>
    <w:p>
      <w:pPr>
        <w:spacing w:after="120" w:before="0" w:line="360" w:lineRule="auto"/>
        <w:ind w:firstLine="720"/>
        <w:jc w:val="both"/>
      </w:pPr>
      <w:r>
        <w:rPr>
          <w:rFonts w:ascii="Times New Roman" w:hAnsi="Times New Roman" w:eastAsia="Times New Roman"/>
          <w:b w:val="0"/>
          <w:i w:val="0"/>
          <w:sz w:val="26"/>
        </w:rPr>
        <w:t>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240" w:after="120" w:line="360" w:lineRule="auto"/>
        <w:jc w:val="left"/>
      </w:pPr>
      <w:r>
        <w:rPr>
          <w:rFonts w:ascii="Times New Roman" w:hAnsi="Times New Roman" w:eastAsia="Times New Roman"/>
          <w:b/>
          <w:i w:val="0"/>
          <w:color w:val="000000"/>
          <w:sz w:val="28"/>
        </w:rPr>
        <w:t>3.1 System Architecture</w:t>
      </w:r>
    </w:p>
    <w:p>
      <w:pPr>
        <w:spacing w:after="120" w:before="0" w:line="360" w:lineRule="auto"/>
        <w:ind w:firstLine="720"/>
        <w:jc w:val="both"/>
      </w:pPr>
      <w:r>
        <w:rPr>
          <w:rFonts w:ascii="Times New Roman" w:hAnsi="Times New Roman" w:eastAsia="Times New Roman"/>
          <w:b w:val="0"/>
          <w:i w:val="0"/>
          <w:sz w:val="26"/>
        </w:rPr>
        <w:t>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240" w:after="120" w:line="360" w:lineRule="auto"/>
        <w:jc w:val="left"/>
      </w:pPr>
      <w:r>
        <w:rPr>
          <w:rFonts w:ascii="Times New Roman" w:hAnsi="Times New Roman" w:eastAsia="Times New Roman"/>
          <w:b/>
          <w:i w:val="0"/>
          <w:color w:val="000000"/>
          <w:sz w:val="26"/>
        </w:rPr>
        <w:t>3.1.1 Design Objectives and Non-Functional Requirements</w:t>
      </w:r>
    </w:p>
    <w:p>
      <w:pPr>
        <w:spacing w:after="120" w:before="0" w:line="360" w:lineRule="auto"/>
        <w:ind w:firstLine="720"/>
        <w:jc w:val="both"/>
      </w:pPr>
      <w:r>
        <w:rPr>
          <w:rFonts w:ascii="Times New Roman" w:hAnsi="Times New Roman" w:eastAsia="Times New Roman"/>
          <w:b w:val="0"/>
          <w:i w:val="0"/>
          <w:sz w:val="26"/>
        </w:rPr>
        <w:t>The system is designed to support fintech-grade demonstrations where numeric outputs must remain defensible under review. Consequently, the architecture prioritises the following non-functional requirements.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Evidence-first numeric outputs.</w:t>
      </w:r>
      <w:r>
        <w:rPr>
          <w:rFonts w:ascii="Times New Roman" w:hAnsi="Times New Roman" w:eastAsia="Times New Roman"/>
          <w:b w:val="0"/>
          <w:i w:val="0"/>
          <w:sz w:val="26"/>
        </w:rPr>
        <w:t xml:space="preserve"> Quant metrics should be produced only from validated datasets and deterministic computations. For the assistant layer, narrative is permitted only when backed by tool evidence and citations (Lewis et al., 2020).</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Explicit assumptions.</w:t>
      </w:r>
      <w:r>
        <w:rPr>
          <w:rFonts w:ascii="Times New Roman" w:hAnsi="Times New Roman" w:eastAsia="Times New Roman"/>
          <w:b w:val="0"/>
          <w:i w:val="0"/>
          <w:sz w:val="26"/>
        </w:rPr>
        <w:t xml:space="preserve"> Backtests and risk analytics surface explicit execution and cost inputs, rather than embedding them as hidden defaults, to reduce optimistic bias (Bailey et al., 2016).</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Diagnostic transparency.</w:t>
      </w:r>
      <w:r>
        <w:rPr>
          <w:rFonts w:ascii="Times New Roman" w:hAnsi="Times New Roman" w:eastAsia="Times New Roman"/>
          <w:b w:val="0"/>
          <w:i w:val="0"/>
          <w:sz w:val="26"/>
        </w:rPr>
        <w:t xml:space="preserve"> Responses include coverage and exclusion diagnostics so users can distinguish a weak signal from a weak dataset.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Reproducibility.</w:t>
      </w:r>
      <w:r>
        <w:rPr>
          <w:rFonts w:ascii="Times New Roman" w:hAnsi="Times New Roman" w:eastAsia="Times New Roman"/>
          <w:b w:val="0"/>
          <w:i w:val="0"/>
          <w:sz w:val="26"/>
        </w:rPr>
        <w:t xml:space="preserve"> All reliability claims in Chapter 4 are supported by reproducible evaluation routines that generate machine-readable artifacts under stable configuration.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Conservative failure behaviour.</w:t>
      </w:r>
      <w:r>
        <w:rPr>
          <w:rFonts w:ascii="Times New Roman" w:hAnsi="Times New Roman" w:eastAsia="Times New Roman"/>
          <w:b w:val="0"/>
          <w:i w:val="0"/>
          <w:sz w:val="26"/>
        </w:rPr>
        <w:t xml:space="preserve"> When evidence is missing, the assistant abstains with reasons rather than fabricating plausible numbers, consistent with unanswerable-question and claim-level reliability findings (Rajpurkar et al., 2018; Lin et al., 2022; Min et al., 2023).</w:t>
      </w:r>
    </w:p>
    <w:p>
      <w:pPr>
        <w:spacing w:after="120" w:before="0" w:line="360" w:lineRule="auto"/>
        <w:ind w:firstLine="720"/>
        <w:jc w:val="both"/>
      </w:pPr>
      <w:r>
        <w:rPr>
          <w:rFonts w:ascii="Times New Roman" w:hAnsi="Times New Roman" w:eastAsia="Times New Roman"/>
          <w:b w:val="0"/>
          <w:i w:val="0"/>
          <w:sz w:val="26"/>
        </w:rPr>
        <w:t>These objectives implement the conditional-evidence stance from Chapter 2 at the system boundary: the system makes assumptions explicit, and where assumptions are violated it fails fast or produces diagnostic explanations rather than silently degrading.</w:t>
      </w:r>
    </w:p>
    <w:p>
      <w:pPr>
        <w:spacing w:after="120" w:before="0" w:line="360" w:lineRule="auto"/>
        <w:ind w:firstLine="720"/>
        <w:jc w:val="both"/>
      </w:pPr>
      <w:r>
        <w:rPr>
          <w:rFonts w:ascii="Times New Roman" w:hAnsi="Times New Roman" w:eastAsia="Times New Roman"/>
          <w:b w:val="0"/>
          <w:i w:val="0"/>
          <w:sz w:val="26"/>
        </w:rPr>
        <w:t>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after="120" w:before="0" w:line="360" w:lineRule="auto"/>
        <w:ind w:firstLine="720"/>
        <w:jc w:val="both"/>
      </w:pPr>
      <w:r>
        <w:rPr>
          <w:rFonts w:ascii="Times New Roman" w:hAnsi="Times New Roman" w:eastAsia="Times New Roman"/>
          <w:b w:val="0"/>
          <w:i w:val="0"/>
          <w:sz w:val="26"/>
        </w:rPr>
        <w:t>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240" w:after="120" w:line="360" w:lineRule="auto"/>
        <w:jc w:val="left"/>
      </w:pPr>
      <w:r>
        <w:rPr>
          <w:rFonts w:ascii="Times New Roman" w:hAnsi="Times New Roman" w:eastAsia="Times New Roman"/>
          <w:b/>
          <w:i w:val="0"/>
          <w:color w:val="000000"/>
          <w:sz w:val="26"/>
        </w:rPr>
        <w:t>3.1.2 Boundaries, Threat Model, and What the System Does Not Do</w:t>
      </w:r>
    </w:p>
    <w:p>
      <w:pPr>
        <w:spacing w:after="120" w:before="0" w:line="360" w:lineRule="auto"/>
        <w:ind w:firstLine="720"/>
        <w:jc w:val="both"/>
      </w:pPr>
      <w:r>
        <w:rPr>
          <w:rFonts w:ascii="Times New Roman" w:hAnsi="Times New Roman" w:eastAsia="Times New Roman"/>
          <w:b w:val="0"/>
          <w:i w:val="0"/>
          <w:sz w:val="26"/>
        </w:rPr>
        <w:t>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after="120" w:before="0" w:line="360" w:lineRule="auto"/>
        <w:ind w:firstLine="720"/>
        <w:jc w:val="both"/>
      </w:pPr>
      <w:r>
        <w:rPr>
          <w:rFonts w:ascii="Times New Roman" w:hAnsi="Times New Roman" w:eastAsia="Times New Roman"/>
          <w:b w:val="0"/>
          <w:i w:val="0"/>
          <w:sz w:val="26"/>
        </w:rPr>
        <w:t>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after="120" w:before="0" w:line="360" w:lineRule="auto"/>
        <w:ind w:firstLine="720"/>
        <w:jc w:val="both"/>
      </w:pPr>
      <w:r>
        <w:rPr>
          <w:rFonts w:ascii="Times New Roman" w:hAnsi="Times New Roman" w:eastAsia="Times New Roman"/>
          <w:b w:val="0"/>
          <w:i w:val="0"/>
          <w:sz w:val="26"/>
        </w:rPr>
        <w:t>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after="120" w:before="240" w:line="360" w:lineRule="auto"/>
        <w:jc w:val="center"/>
      </w:pPr>
      <w:r>
        <w:drawing>
          <wp:inline xmlns:a="http://schemas.openxmlformats.org/drawingml/2006/main" xmlns:pic="http://schemas.openxmlformats.org/drawingml/2006/picture">
            <wp:extent cx="5040000" cy="1306824"/>
            <wp:docPr id="10" name="Picture 10"/>
            <wp:cNvGraphicFramePr>
              <a:graphicFrameLocks noChangeAspect="1"/>
            </wp:cNvGraphicFramePr>
            <a:graphic>
              <a:graphicData uri="http://schemas.openxmlformats.org/drawingml/2006/picture">
                <pic:pic>
                  <pic:nvPicPr>
                    <pic:cNvPr id="0" name="fig_3_1.png"/>
                    <pic:cNvPicPr/>
                  </pic:nvPicPr>
                  <pic:blipFill>
                    <a:blip r:embed="rId9"/>
                    <a:stretch>
                      <a:fillRect/>
                    </a:stretch>
                  </pic:blipFill>
                  <pic:spPr>
                    <a:xfrm>
                      <a:off x="0" y="0"/>
                      <a:ext cx="5040000" cy="1306824"/>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3.1: System context for QuantVN Strategy Forge.</w:t>
      </w:r>
    </w:p>
    <w:p>
      <w:pPr>
        <w:spacing w:before="240" w:after="120" w:line="360" w:lineRule="auto"/>
        <w:jc w:val="left"/>
      </w:pPr>
      <w:r>
        <w:rPr>
          <w:rFonts w:ascii="Times New Roman" w:hAnsi="Times New Roman" w:eastAsia="Times New Roman"/>
          <w:b/>
          <w:i w:val="0"/>
          <w:color w:val="000000"/>
          <w:sz w:val="28"/>
        </w:rPr>
        <w:t>3.2 Core Modules and Quant Engine</w:t>
      </w:r>
    </w:p>
    <w:p>
      <w:pPr>
        <w:spacing w:after="120" w:before="0" w:line="360" w:lineRule="auto"/>
        <w:ind w:firstLine="720"/>
        <w:jc w:val="both"/>
      </w:pPr>
      <w:r>
        <w:rPr>
          <w:rFonts w:ascii="Times New Roman" w:hAnsi="Times New Roman" w:eastAsia="Times New Roman"/>
          <w:b w:val="0"/>
          <w:i w:val="0"/>
          <w:sz w:val="26"/>
        </w:rPr>
        <w:t>The quant engine provides deterministic computations that are shared across UI workflows and internal APIs. It is organised around four families of capability.</w:t>
      </w:r>
    </w:p>
    <w:p>
      <w:pPr>
        <w:spacing w:after="120" w:before="0" w:line="360" w:lineRule="auto"/>
        <w:ind w:firstLine="720"/>
        <w:jc w:val="both"/>
      </w:pPr>
      <w:r>
        <w:rPr>
          <w:rFonts w:ascii="Times New Roman" w:hAnsi="Times New Roman" w:eastAsia="Times New Roman"/>
          <w:b w:val="0"/>
          <w:i w:val="0"/>
          <w:sz w:val="26"/>
        </w:rPr>
        <w:t>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after="120" w:before="0" w:line="360" w:lineRule="auto"/>
        <w:ind w:firstLine="720"/>
        <w:jc w:val="both"/>
      </w:pPr>
      <w:r>
        <w:rPr>
          <w:rFonts w:ascii="Times New Roman" w:hAnsi="Times New Roman" w:eastAsia="Times New Roman"/>
          <w:b w:val="0"/>
          <w:i w:val="0"/>
          <w:sz w:val="26"/>
        </w:rPr>
        <w:t>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after="120" w:before="0" w:line="360" w:lineRule="auto"/>
        <w:ind w:firstLine="720"/>
        <w:jc w:val="both"/>
      </w:pPr>
      <w:r>
        <w:rPr>
          <w:rFonts w:ascii="Times New Roman" w:hAnsi="Times New Roman" w:eastAsia="Times New Roman"/>
          <w:b w:val="0"/>
          <w:i w:val="0"/>
          <w:sz w:val="26"/>
        </w:rPr>
        <w:t>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after="120" w:before="0" w:line="360" w:lineRule="auto"/>
        <w:ind w:firstLine="720"/>
        <w:jc w:val="both"/>
      </w:pPr>
      <w:r>
        <w:rPr>
          <w:rFonts w:ascii="Times New Roman" w:hAnsi="Times New Roman" w:eastAsia="Times New Roman"/>
          <w:b w:val="0"/>
          <w:i w:val="0"/>
          <w:sz w:val="26"/>
        </w:rPr>
        <w:t>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after="120" w:before="0" w:line="360" w:lineRule="auto"/>
        <w:ind w:firstLine="720"/>
        <w:jc w:val="both"/>
      </w:pPr>
      <w:r>
        <w:rPr>
          <w:rFonts w:ascii="Times New Roman" w:hAnsi="Times New Roman" w:eastAsia="Times New Roman"/>
          <w:b w:val="0"/>
          <w:i w:val="0"/>
          <w:sz w:val="26"/>
        </w:rPr>
        <w:t>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240" w:after="120" w:line="360" w:lineRule="auto"/>
        <w:jc w:val="left"/>
      </w:pPr>
      <w:r>
        <w:rPr>
          <w:rFonts w:ascii="Times New Roman" w:hAnsi="Times New Roman" w:eastAsia="Times New Roman"/>
          <w:b/>
          <w:i w:val="0"/>
          <w:color w:val="000000"/>
          <w:sz w:val="26"/>
        </w:rPr>
        <w:t>3.2.1 Quant Outputs as Conditional Evidence (Design Principle)</w:t>
      </w:r>
    </w:p>
    <w:p>
      <w:pPr>
        <w:spacing w:after="120" w:before="0" w:line="360" w:lineRule="auto"/>
        <w:ind w:firstLine="720"/>
        <w:jc w:val="both"/>
      </w:pPr>
      <w:r>
        <w:rPr>
          <w:rFonts w:ascii="Times New Roman" w:hAnsi="Times New Roman" w:eastAsia="Times New Roman"/>
          <w:b w:val="0"/>
          <w:i w:val="0"/>
          <w:sz w:val="26"/>
        </w:rPr>
        <w:t>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240" w:after="120" w:line="360" w:lineRule="auto"/>
        <w:jc w:val="left"/>
      </w:pPr>
      <w:r>
        <w:rPr>
          <w:rFonts w:ascii="Times New Roman" w:hAnsi="Times New Roman" w:eastAsia="Times New Roman"/>
          <w:b/>
          <w:i w:val="0"/>
          <w:color w:val="000000"/>
          <w:sz w:val="26"/>
        </w:rPr>
        <w:t>3.2.2 Portfolio and Risk Modules as "Downstream Consumers" of Data Contracts</w:t>
      </w:r>
    </w:p>
    <w:p>
      <w:pPr>
        <w:spacing w:after="120" w:before="0" w:line="360" w:lineRule="auto"/>
        <w:ind w:firstLine="720"/>
        <w:jc w:val="both"/>
      </w:pPr>
      <w:r>
        <w:rPr>
          <w:rFonts w:ascii="Times New Roman" w:hAnsi="Times New Roman" w:eastAsia="Times New Roman"/>
          <w:b w:val="0"/>
          <w:i w:val="0"/>
          <w:sz w:val="26"/>
        </w:rPr>
        <w:t>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after="120" w:before="0" w:line="360" w:lineRule="auto"/>
        <w:ind w:firstLine="720"/>
        <w:jc w:val="both"/>
      </w:pPr>
      <w:r>
        <w:rPr>
          <w:rFonts w:ascii="Times New Roman" w:hAnsi="Times New Roman" w:eastAsia="Times New Roman"/>
          <w:b w:val="0"/>
          <w:i w:val="0"/>
          <w:sz w:val="26"/>
        </w:rPr>
        <w:t>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after="120" w:before="240" w:line="360" w:lineRule="auto"/>
        <w:jc w:val="center"/>
      </w:pPr>
      <w:r>
        <w:drawing>
          <wp:inline xmlns:a="http://schemas.openxmlformats.org/drawingml/2006/main" xmlns:pic="http://schemas.openxmlformats.org/drawingml/2006/picture">
            <wp:extent cx="5040000" cy="8311579"/>
            <wp:docPr id="11" name="Picture 11"/>
            <wp:cNvGraphicFramePr>
              <a:graphicFrameLocks noChangeAspect="1"/>
            </wp:cNvGraphicFramePr>
            <a:graphic>
              <a:graphicData uri="http://schemas.openxmlformats.org/drawingml/2006/picture">
                <pic:pic>
                  <pic:nvPicPr>
                    <pic:cNvPr id="0" name="fig_3_2.png"/>
                    <pic:cNvPicPr/>
                  </pic:nvPicPr>
                  <pic:blipFill>
                    <a:blip r:embed="rId10"/>
                    <a:stretch>
                      <a:fillRect/>
                    </a:stretch>
                  </pic:blipFill>
                  <pic:spPr>
                    <a:xfrm>
                      <a:off x="0" y="0"/>
                      <a:ext cx="5040000" cy="8311579"/>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3.2: Module architecture (conceptual).</w:t>
      </w:r>
    </w:p>
    <w:p>
      <w:pPr>
        <w:spacing w:before="240" w:after="120" w:line="360" w:lineRule="auto"/>
        <w:jc w:val="left"/>
      </w:pPr>
      <w:r>
        <w:rPr>
          <w:rFonts w:ascii="Times New Roman" w:hAnsi="Times New Roman" w:eastAsia="Times New Roman"/>
          <w:b/>
          <w:i w:val="0"/>
          <w:color w:val="000000"/>
          <w:sz w:val="28"/>
        </w:rPr>
        <w:t>3.3 Data Pipeline</w:t>
      </w:r>
    </w:p>
    <w:p>
      <w:pPr>
        <w:spacing w:after="120" w:before="0" w:line="360" w:lineRule="auto"/>
        <w:ind w:firstLine="720"/>
        <w:jc w:val="both"/>
      </w:pPr>
      <w:r>
        <w:rPr>
          <w:rFonts w:ascii="Times New Roman" w:hAnsi="Times New Roman" w:eastAsia="Times New Roman"/>
          <w:b w:val="0"/>
          <w:i w:val="0"/>
          <w:sz w:val="26"/>
        </w:rPr>
        <w:t>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240" w:after="120" w:line="360" w:lineRule="auto"/>
        <w:jc w:val="left"/>
      </w:pPr>
      <w:r>
        <w:rPr>
          <w:rFonts w:ascii="Times New Roman" w:hAnsi="Times New Roman" w:eastAsia="Times New Roman"/>
          <w:b/>
          <w:i w:val="0"/>
          <w:color w:val="000000"/>
          <w:sz w:val="26"/>
        </w:rPr>
        <w:t>3.3.1 Runtime Datasets and Coverage (HOSE Daily, Prepared Artifacts)</w:t>
      </w:r>
    </w:p>
    <w:p>
      <w:pPr>
        <w:spacing w:after="120" w:before="0" w:line="360" w:lineRule="auto"/>
        <w:ind w:firstLine="720"/>
        <w:jc w:val="both"/>
      </w:pPr>
      <w:r>
        <w:rPr>
          <w:rFonts w:ascii="Times New Roman" w:hAnsi="Times New Roman" w:eastAsia="Times New Roman"/>
          <w:b w:val="0"/>
          <w:i w:val="0"/>
          <w:sz w:val="26"/>
        </w:rPr>
        <w:t>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after="120" w:before="0" w:line="360" w:lineRule="auto"/>
        <w:ind w:firstLine="720"/>
        <w:jc w:val="both"/>
      </w:pPr>
      <w:r>
        <w:rPr>
          <w:rFonts w:ascii="Times New Roman" w:hAnsi="Times New Roman" w:eastAsia="Times New Roman"/>
          <w:b w:val="0"/>
          <w:i w:val="0"/>
          <w:sz w:val="26"/>
        </w:rPr>
        <w:t>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after="120" w:before="0" w:line="360" w:lineRule="auto"/>
        <w:ind w:firstLine="720"/>
        <w:jc w:val="both"/>
      </w:pPr>
      <w:r>
        <w:rPr>
          <w:rFonts w:ascii="Times New Roman" w:hAnsi="Times New Roman" w:eastAsia="Times New Roman"/>
          <w:b w:val="0"/>
          <w:i w:val="0"/>
          <w:sz w:val="26"/>
        </w:rPr>
        <w:t>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after="120" w:before="0" w:line="360" w:lineRule="auto"/>
        <w:ind w:firstLine="720"/>
        <w:jc w:val="both"/>
      </w:pPr>
      <w:r>
        <w:rPr>
          <w:rFonts w:ascii="Times New Roman" w:hAnsi="Times New Roman" w:eastAsia="Times New Roman"/>
          <w:b w:val="0"/>
          <w:i w:val="0"/>
          <w:sz w:val="26"/>
        </w:rPr>
        <w:t>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after="120" w:before="0" w:line="360" w:lineRule="auto"/>
        <w:ind w:firstLine="720"/>
        <w:jc w:val="both"/>
      </w:pPr>
      <w:r>
        <w:rPr>
          <w:rFonts w:ascii="Times New Roman" w:hAnsi="Times New Roman" w:eastAsia="Times New Roman"/>
          <w:b w:val="0"/>
          <w:i w:val="0"/>
          <w:sz w:val="26"/>
        </w:rPr>
        <w:t>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after="120" w:before="0" w:line="360" w:lineRule="auto"/>
        <w:ind w:firstLine="720"/>
        <w:jc w:val="both"/>
      </w:pPr>
      <w:r>
        <w:rPr>
          <w:rFonts w:ascii="Times New Roman" w:hAnsi="Times New Roman" w:eastAsia="Times New Roman"/>
          <w:b w:val="0"/>
          <w:i w:val="0"/>
          <w:sz w:val="26"/>
        </w:rPr>
        <w:t>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240" w:after="120" w:line="360" w:lineRule="auto"/>
        <w:jc w:val="left"/>
      </w:pPr>
      <w:r>
        <w:rPr>
          <w:rFonts w:ascii="Times New Roman" w:hAnsi="Times New Roman" w:eastAsia="Times New Roman"/>
          <w:b/>
          <w:i w:val="0"/>
          <w:color w:val="000000"/>
          <w:sz w:val="26"/>
        </w:rPr>
        <w:t>3.3.2 Why File-Based Artifacts + Manifest + Optional Embedded Database Are Sufficient for This Thesis</w:t>
      </w:r>
    </w:p>
    <w:p>
      <w:pPr>
        <w:spacing w:after="120" w:before="0" w:line="360" w:lineRule="auto"/>
        <w:ind w:firstLine="720"/>
        <w:jc w:val="both"/>
      </w:pPr>
      <w:r>
        <w:rPr>
          <w:rFonts w:ascii="Times New Roman" w:hAnsi="Times New Roman" w:eastAsia="Times New Roman"/>
          <w:b w:val="0"/>
          <w:i w:val="0"/>
          <w:sz w:val="26"/>
        </w:rPr>
        <w:t>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after="120" w:before="0" w:line="360" w:lineRule="auto"/>
        <w:ind w:firstLine="720"/>
        <w:jc w:val="both"/>
      </w:pPr>
      <w:r>
        <w:rPr>
          <w:rFonts w:ascii="Times New Roman" w:hAnsi="Times New Roman" w:eastAsia="Times New Roman"/>
          <w:b w:val="0"/>
          <w:i w:val="0"/>
          <w:sz w:val="26"/>
        </w:rPr>
        <w:t>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after="120" w:before="240" w:line="360" w:lineRule="auto"/>
        <w:jc w:val="center"/>
      </w:pPr>
      <w:r>
        <w:drawing>
          <wp:inline xmlns:a="http://schemas.openxmlformats.org/drawingml/2006/main" xmlns:pic="http://schemas.openxmlformats.org/drawingml/2006/picture">
            <wp:extent cx="5040000" cy="864122"/>
            <wp:docPr id="12" name="Picture 12"/>
            <wp:cNvGraphicFramePr>
              <a:graphicFrameLocks noChangeAspect="1"/>
            </wp:cNvGraphicFramePr>
            <a:graphic>
              <a:graphicData uri="http://schemas.openxmlformats.org/drawingml/2006/picture">
                <pic:pic>
                  <pic:nvPicPr>
                    <pic:cNvPr id="0" name="fig_3_3.png"/>
                    <pic:cNvPicPr/>
                  </pic:nvPicPr>
                  <pic:blipFill>
                    <a:blip r:embed="rId11"/>
                    <a:stretch>
                      <a:fillRect/>
                    </a:stretch>
                  </pic:blipFill>
                  <pic:spPr>
                    <a:xfrm>
                      <a:off x="0" y="0"/>
                      <a:ext cx="5040000" cy="864122"/>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3.3: Data pipeline and runtime contract.</w:t>
      </w:r>
    </w:p>
    <w:p>
      <w:pPr>
        <w:spacing w:before="240" w:after="120" w:line="360" w:lineRule="auto"/>
        <w:jc w:val="left"/>
      </w:pPr>
      <w:r>
        <w:rPr>
          <w:rFonts w:ascii="Times New Roman" w:hAnsi="Times New Roman" w:eastAsia="Times New Roman"/>
          <w:b/>
          <w:i w:val="0"/>
          <w:color w:val="000000"/>
          <w:sz w:val="28"/>
        </w:rPr>
        <w:t>3.4 Backtesting Methodology</w:t>
      </w:r>
    </w:p>
    <w:p>
      <w:pPr>
        <w:spacing w:after="120" w:before="0" w:line="360" w:lineRule="auto"/>
        <w:ind w:firstLine="720"/>
        <w:jc w:val="both"/>
      </w:pPr>
      <w:r>
        <w:rPr>
          <w:rFonts w:ascii="Times New Roman" w:hAnsi="Times New Roman" w:eastAsia="Times New Roman"/>
          <w:b w:val="0"/>
          <w:i w:val="0"/>
          <w:sz w:val="26"/>
        </w:rPr>
        <w:t>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240" w:after="120" w:line="360" w:lineRule="auto"/>
        <w:jc w:val="left"/>
      </w:pPr>
      <w:r>
        <w:rPr>
          <w:rFonts w:ascii="Times New Roman" w:hAnsi="Times New Roman" w:eastAsia="Times New Roman"/>
          <w:b/>
          <w:i w:val="0"/>
          <w:color w:val="000000"/>
          <w:sz w:val="26"/>
        </w:rPr>
        <w:t>3.4.1 Input Specification and Fair-Use Admission</w:t>
      </w:r>
    </w:p>
    <w:p>
      <w:pPr>
        <w:spacing w:after="120" w:before="0" w:line="360" w:lineRule="auto"/>
        <w:ind w:firstLine="720"/>
        <w:jc w:val="both"/>
      </w:pPr>
      <w:r>
        <w:rPr>
          <w:rFonts w:ascii="Times New Roman" w:hAnsi="Times New Roman" w:eastAsia="Times New Roman"/>
          <w:b w:val="0"/>
          <w:i w:val="0"/>
          <w:sz w:val="26"/>
        </w:rPr>
        <w:t>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after="120" w:before="0" w:line="360" w:lineRule="auto"/>
        <w:ind w:firstLine="720"/>
        <w:jc w:val="both"/>
      </w:pPr>
      <w:r>
        <w:rPr>
          <w:rFonts w:ascii="Times New Roman" w:hAnsi="Times New Roman" w:eastAsia="Times New Roman"/>
          <w:b w:val="0"/>
          <w:i w:val="0"/>
          <w:sz w:val="26"/>
        </w:rPr>
        <w:t>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240" w:after="120" w:line="360" w:lineRule="auto"/>
        <w:jc w:val="left"/>
      </w:pPr>
      <w:r>
        <w:rPr>
          <w:rFonts w:ascii="Times New Roman" w:hAnsi="Times New Roman" w:eastAsia="Times New Roman"/>
          <w:b/>
          <w:i w:val="0"/>
          <w:color w:val="000000"/>
          <w:sz w:val="26"/>
        </w:rPr>
        <w:t>3.4.2 Data Readiness, Cleaning, and Diagnostic Gating</w:t>
      </w:r>
    </w:p>
    <w:p>
      <w:pPr>
        <w:spacing w:after="120" w:before="0" w:line="360" w:lineRule="auto"/>
        <w:ind w:firstLine="720"/>
        <w:jc w:val="both"/>
      </w:pPr>
      <w:r>
        <w:rPr>
          <w:rFonts w:ascii="Times New Roman" w:hAnsi="Times New Roman" w:eastAsia="Times New Roman"/>
          <w:b w:val="0"/>
          <w:i w:val="0"/>
          <w:sz w:val="26"/>
        </w:rPr>
        <w:t>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after="120" w:before="0" w:line="360" w:lineRule="auto"/>
        <w:ind w:firstLine="720"/>
        <w:jc w:val="both"/>
      </w:pPr>
      <w:r>
        <w:rPr>
          <w:rFonts w:ascii="Times New Roman" w:hAnsi="Times New Roman" w:eastAsia="Times New Roman"/>
          <w:b w:val="0"/>
          <w:i w:val="0"/>
          <w:sz w:val="26"/>
        </w:rPr>
        <w:t>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240" w:after="120" w:line="360" w:lineRule="auto"/>
        <w:jc w:val="left"/>
      </w:pPr>
      <w:r>
        <w:rPr>
          <w:rFonts w:ascii="Times New Roman" w:hAnsi="Times New Roman" w:eastAsia="Times New Roman"/>
          <w:b/>
          <w:i w:val="0"/>
          <w:color w:val="000000"/>
          <w:sz w:val="26"/>
        </w:rPr>
        <w:t>3.4.3 Execution and Cost Model</w:t>
      </w:r>
    </w:p>
    <w:p>
      <w:pPr>
        <w:spacing w:after="120" w:before="0" w:line="360" w:lineRule="auto"/>
        <w:ind w:firstLine="720"/>
        <w:jc w:val="both"/>
      </w:pPr>
      <w:r>
        <w:rPr>
          <w:rFonts w:ascii="Times New Roman" w:hAnsi="Times New Roman" w:eastAsia="Times New Roman"/>
          <w:b w:val="0"/>
          <w:i w:val="0"/>
          <w:sz w:val="26"/>
        </w:rPr>
        <w:t>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after="120" w:before="0" w:line="360" w:lineRule="auto"/>
        <w:ind w:firstLine="720"/>
        <w:jc w:val="both"/>
      </w:pPr>
      <w:r>
        <w:rPr>
          <w:rFonts w:ascii="Times New Roman" w:hAnsi="Times New Roman" w:eastAsia="Times New Roman"/>
          <w:b w:val="0"/>
          <w:i w:val="0"/>
          <w:sz w:val="26"/>
        </w:rPr>
        <w:t>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240" w:after="120" w:line="360" w:lineRule="auto"/>
        <w:jc w:val="left"/>
      </w:pPr>
      <w:r>
        <w:rPr>
          <w:rFonts w:ascii="Times New Roman" w:hAnsi="Times New Roman" w:eastAsia="Times New Roman"/>
          <w:b/>
          <w:i w:val="0"/>
          <w:color w:val="000000"/>
          <w:sz w:val="26"/>
        </w:rPr>
        <w:t>3.4.4 Position Sizing, State Transitions, and Performance Outputs</w:t>
      </w:r>
    </w:p>
    <w:p>
      <w:pPr>
        <w:spacing w:after="120" w:before="0" w:line="360" w:lineRule="auto"/>
        <w:ind w:firstLine="720"/>
        <w:jc w:val="both"/>
      </w:pPr>
      <w:r>
        <w:rPr>
          <w:rFonts w:ascii="Times New Roman" w:hAnsi="Times New Roman" w:eastAsia="Times New Roman"/>
          <w:b w:val="0"/>
          <w:i w:val="0"/>
          <w:sz w:val="26"/>
        </w:rPr>
        <w:t>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after="120" w:before="0" w:line="360" w:lineRule="auto"/>
        <w:ind w:firstLine="720"/>
        <w:jc w:val="both"/>
      </w:pPr>
      <w:r>
        <w:rPr>
          <w:rFonts w:ascii="Times New Roman" w:hAnsi="Times New Roman" w:eastAsia="Times New Roman"/>
          <w:b w:val="0"/>
          <w:i w:val="0"/>
          <w:sz w:val="26"/>
        </w:rPr>
        <w:t>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240" w:after="120" w:line="360" w:lineRule="auto"/>
        <w:jc w:val="left"/>
      </w:pPr>
      <w:r>
        <w:rPr>
          <w:rFonts w:ascii="Times New Roman" w:hAnsi="Times New Roman" w:eastAsia="Times New Roman"/>
          <w:b/>
          <w:i w:val="0"/>
          <w:color w:val="000000"/>
          <w:sz w:val="26"/>
        </w:rPr>
        <w:t>3.4.5 Methodological Limitations (Scope-Controlled by Design)</w:t>
      </w:r>
    </w:p>
    <w:p>
      <w:pPr>
        <w:spacing w:after="120" w:before="0" w:line="360" w:lineRule="auto"/>
        <w:ind w:firstLine="720"/>
        <w:jc w:val="both"/>
      </w:pPr>
      <w:r>
        <w:rPr>
          <w:rFonts w:ascii="Times New Roman" w:hAnsi="Times New Roman" w:eastAsia="Times New Roman"/>
          <w:b w:val="0"/>
          <w:i w:val="0"/>
          <w:sz w:val="26"/>
        </w:rPr>
        <w:t>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after="120" w:before="0" w:line="360" w:lineRule="auto"/>
        <w:ind w:firstLine="720"/>
        <w:jc w:val="both"/>
      </w:pPr>
      <w:r>
        <w:rPr>
          <w:rFonts w:ascii="Times New Roman" w:hAnsi="Times New Roman" w:eastAsia="Times New Roman"/>
          <w:b w:val="0"/>
          <w:i w:val="0"/>
          <w:sz w:val="26"/>
        </w:rPr>
        <w:t>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after="120" w:before="240" w:line="360" w:lineRule="auto"/>
        <w:jc w:val="center"/>
      </w:pPr>
      <w:r>
        <w:drawing>
          <wp:inline xmlns:a="http://schemas.openxmlformats.org/drawingml/2006/main" xmlns:pic="http://schemas.openxmlformats.org/drawingml/2006/picture">
            <wp:extent cx="5040000" cy="1919797"/>
            <wp:docPr id="13" name="Picture 13"/>
            <wp:cNvGraphicFramePr>
              <a:graphicFrameLocks noChangeAspect="1"/>
            </wp:cNvGraphicFramePr>
            <a:graphic>
              <a:graphicData uri="http://schemas.openxmlformats.org/drawingml/2006/picture">
                <pic:pic>
                  <pic:nvPicPr>
                    <pic:cNvPr id="0" name="fig_3_4.png"/>
                    <pic:cNvPicPr/>
                  </pic:nvPicPr>
                  <pic:blipFill>
                    <a:blip r:embed="rId12"/>
                    <a:stretch>
                      <a:fillRect/>
                    </a:stretch>
                  </pic:blipFill>
                  <pic:spPr>
                    <a:xfrm>
                      <a:off x="0" y="0"/>
                      <a:ext cx="5040000" cy="1919797"/>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3.4: Backtesting methodology workflow.</w:t>
      </w:r>
    </w:p>
    <w:p>
      <w:pPr>
        <w:spacing w:before="240" w:after="120" w:line="360" w:lineRule="auto"/>
        <w:jc w:val="left"/>
      </w:pPr>
      <w:r>
        <w:rPr>
          <w:rFonts w:ascii="Times New Roman" w:hAnsi="Times New Roman" w:eastAsia="Times New Roman"/>
          <w:b/>
          <w:i w:val="0"/>
          <w:color w:val="000000"/>
          <w:sz w:val="28"/>
        </w:rPr>
        <w:t>3.5 Assistant Methodology (planner -&gt; tools -&gt; policy -&gt; provider)</w:t>
      </w:r>
    </w:p>
    <w:p>
      <w:pPr>
        <w:spacing w:after="120" w:before="0" w:line="360" w:lineRule="auto"/>
        <w:ind w:firstLine="720"/>
        <w:jc w:val="both"/>
      </w:pPr>
      <w:r>
        <w:rPr>
          <w:rFonts w:ascii="Times New Roman" w:hAnsi="Times New Roman" w:eastAsia="Times New Roman"/>
          <w:b w:val="0"/>
          <w:i w:val="0"/>
          <w:sz w:val="26"/>
        </w:rPr>
        <w:t>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after="120" w:before="0" w:line="360" w:lineRule="auto"/>
        <w:ind w:firstLine="720"/>
        <w:jc w:val="both"/>
      </w:pPr>
      <w:r>
        <w:rPr>
          <w:rFonts w:ascii="Times New Roman" w:hAnsi="Times New Roman" w:eastAsia="Times New Roman"/>
          <w:b w:val="0"/>
          <w:i w:val="0"/>
          <w:sz w:val="26"/>
        </w:rPr>
        <w:t>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after="120" w:before="0" w:line="360" w:lineRule="auto"/>
        <w:ind w:firstLine="720"/>
        <w:jc w:val="both"/>
      </w:pPr>
      <w:r>
        <w:rPr>
          <w:rFonts w:ascii="Times New Roman" w:hAnsi="Times New Roman" w:eastAsia="Times New Roman"/>
          <w:b w:val="0"/>
          <w:i w:val="0"/>
          <w:sz w:val="26"/>
        </w:rPr>
        <w:t>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240" w:after="120" w:line="360" w:lineRule="auto"/>
        <w:jc w:val="left"/>
      </w:pPr>
      <w:r>
        <w:rPr>
          <w:rFonts w:ascii="Times New Roman" w:hAnsi="Times New Roman" w:eastAsia="Times New Roman"/>
          <w:b/>
          <w:i w:val="0"/>
          <w:color w:val="000000"/>
          <w:sz w:val="26"/>
        </w:rPr>
        <w:t>3.5.1 Trusted Tool Base URLs and Reproducible Grounding</w:t>
      </w:r>
    </w:p>
    <w:p>
      <w:pPr>
        <w:spacing w:after="120" w:before="0" w:line="360" w:lineRule="auto"/>
        <w:ind w:firstLine="720"/>
        <w:jc w:val="both"/>
      </w:pPr>
      <w:r>
        <w:rPr>
          <w:rFonts w:ascii="Times New Roman" w:hAnsi="Times New Roman" w:eastAsia="Times New Roman"/>
          <w:b w:val="0"/>
          <w:i w:val="0"/>
          <w:sz w:val="26"/>
        </w:rPr>
        <w:t>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after="120" w:before="0" w:line="360" w:lineRule="auto"/>
        <w:ind w:firstLine="720"/>
        <w:jc w:val="both"/>
      </w:pPr>
      <w:r>
        <w:rPr>
          <w:rFonts w:ascii="Times New Roman" w:hAnsi="Times New Roman" w:eastAsia="Times New Roman"/>
          <w:b w:val="0"/>
          <w:i w:val="0"/>
          <w:sz w:val="26"/>
        </w:rPr>
        <w:t>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after="120" w:before="0" w:line="360" w:lineRule="auto"/>
        <w:ind w:firstLine="720"/>
        <w:jc w:val="both"/>
      </w:pPr>
      <w:r>
        <w:rPr>
          <w:rFonts w:ascii="Times New Roman" w:hAnsi="Times New Roman" w:eastAsia="Times New Roman"/>
          <w:b w:val="0"/>
          <w:i w:val="0"/>
          <w:sz w:val="26"/>
        </w:rPr>
        <w:t>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240" w:after="120" w:line="360" w:lineRule="auto"/>
        <w:jc w:val="left"/>
      </w:pPr>
      <w:r>
        <w:rPr>
          <w:rFonts w:ascii="Times New Roman" w:hAnsi="Times New Roman" w:eastAsia="Times New Roman"/>
          <w:b/>
          <w:i w:val="0"/>
          <w:color w:val="000000"/>
          <w:sz w:val="26"/>
        </w:rPr>
        <w:t>3.5.2 Policy Modes: Shadow vs Enforce</w:t>
      </w:r>
    </w:p>
    <w:p>
      <w:pPr>
        <w:spacing w:after="120" w:before="0" w:line="360" w:lineRule="auto"/>
        <w:ind w:firstLine="720"/>
        <w:jc w:val="both"/>
      </w:pPr>
      <w:r>
        <w:rPr>
          <w:rFonts w:ascii="Times New Roman" w:hAnsi="Times New Roman" w:eastAsia="Times New Roman"/>
          <w:b w:val="0"/>
          <w:i w:val="0"/>
          <w:sz w:val="26"/>
        </w:rPr>
        <w:t>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after="120" w:before="0" w:line="360" w:lineRule="auto"/>
        <w:ind w:firstLine="720"/>
        <w:jc w:val="both"/>
      </w:pPr>
      <w:r>
        <w:rPr>
          <w:rFonts w:ascii="Times New Roman" w:hAnsi="Times New Roman" w:eastAsia="Times New Roman"/>
          <w:b w:val="0"/>
          <w:i w:val="0"/>
          <w:sz w:val="26"/>
        </w:rPr>
        <w:t>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after="120" w:before="0" w:line="360" w:lineRule="auto"/>
        <w:ind w:firstLine="720"/>
        <w:jc w:val="both"/>
      </w:pPr>
      <w:r>
        <w:rPr>
          <w:rFonts w:ascii="Times New Roman" w:hAnsi="Times New Roman" w:eastAsia="Times New Roman"/>
          <w:b w:val="0"/>
          <w:i w:val="0"/>
          <w:sz w:val="26"/>
        </w:rPr>
        <w:t>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240" w:after="120" w:line="360" w:lineRule="auto"/>
        <w:jc w:val="left"/>
      </w:pPr>
      <w:r>
        <w:rPr>
          <w:rFonts w:ascii="Times New Roman" w:hAnsi="Times New Roman" w:eastAsia="Times New Roman"/>
          <w:b/>
          <w:i w:val="0"/>
          <w:color w:val="000000"/>
          <w:sz w:val="26"/>
        </w:rPr>
        <w:t>3.5.3 Human-in-the-Loop Execution Boundary</w:t>
      </w:r>
    </w:p>
    <w:p>
      <w:pPr>
        <w:spacing w:after="120" w:before="0" w:line="360" w:lineRule="auto"/>
        <w:ind w:firstLine="720"/>
        <w:jc w:val="both"/>
      </w:pPr>
      <w:r>
        <w:rPr>
          <w:rFonts w:ascii="Times New Roman" w:hAnsi="Times New Roman" w:eastAsia="Times New Roman"/>
          <w:b w:val="0"/>
          <w:i w:val="0"/>
          <w:sz w:val="26"/>
        </w:rPr>
        <w:t>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after="120" w:before="240" w:line="360" w:lineRule="auto"/>
        <w:jc w:val="center"/>
      </w:pPr>
      <w:r>
        <w:drawing>
          <wp:inline xmlns:a="http://schemas.openxmlformats.org/drawingml/2006/main" xmlns:pic="http://schemas.openxmlformats.org/drawingml/2006/picture">
            <wp:extent cx="5040000" cy="2477433"/>
            <wp:docPr id="14" name="Picture 14"/>
            <wp:cNvGraphicFramePr>
              <a:graphicFrameLocks noChangeAspect="1"/>
            </wp:cNvGraphicFramePr>
            <a:graphic>
              <a:graphicData uri="http://schemas.openxmlformats.org/drawingml/2006/picture">
                <pic:pic>
                  <pic:nvPicPr>
                    <pic:cNvPr id="0" name="fig_3_5.png"/>
                    <pic:cNvPicPr/>
                  </pic:nvPicPr>
                  <pic:blipFill>
                    <a:blip r:embed="rId13"/>
                    <a:stretch>
                      <a:fillRect/>
                    </a:stretch>
                  </pic:blipFill>
                  <pic:spPr>
                    <a:xfrm>
                      <a:off x="0" y="0"/>
                      <a:ext cx="5040000" cy="2477433"/>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3.5: Grounded assistant pipeline.</w:t>
      </w:r>
    </w:p>
    <w:p>
      <w:pPr>
        <w:spacing w:after="120" w:before="0" w:line="360" w:lineRule="auto"/>
        <w:ind w:firstLine="720"/>
        <w:jc w:val="both"/>
      </w:pPr>
      <w:r>
        <w:rPr>
          <w:rFonts w:ascii="Times New Roman" w:hAnsi="Times New Roman" w:eastAsia="Times New Roman"/>
          <w:b w:val="0"/>
          <w:i w:val="0"/>
          <w:sz w:val="26"/>
        </w:rPr>
        <w:t>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after="120" w:before="240" w:line="360" w:lineRule="auto"/>
        <w:jc w:val="center"/>
      </w:pPr>
      <w:r>
        <w:drawing>
          <wp:inline xmlns:a="http://schemas.openxmlformats.org/drawingml/2006/main" xmlns:pic="http://schemas.openxmlformats.org/drawingml/2006/picture">
            <wp:extent cx="5040000" cy="5841818"/>
            <wp:docPr id="15" name="Picture 15"/>
            <wp:cNvGraphicFramePr>
              <a:graphicFrameLocks noChangeAspect="1"/>
            </wp:cNvGraphicFramePr>
            <a:graphic>
              <a:graphicData uri="http://schemas.openxmlformats.org/drawingml/2006/picture">
                <pic:pic>
                  <pic:nvPicPr>
                    <pic:cNvPr id="0" name="fig_3_6.png"/>
                    <pic:cNvPicPr/>
                  </pic:nvPicPr>
                  <pic:blipFill>
                    <a:blip r:embed="rId14"/>
                    <a:stretch>
                      <a:fillRect/>
                    </a:stretch>
                  </pic:blipFill>
                  <pic:spPr>
                    <a:xfrm>
                      <a:off x="0" y="0"/>
                      <a:ext cx="5040000" cy="5841818"/>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3.6: QuantVN Strategy Forge workflow (Canvas + AI -&gt; Run -&gt; Diagnose).</w:t>
      </w:r>
    </w:p>
    <w:p>
      <w:pPr>
        <w:spacing w:before="240" w:after="120" w:line="360" w:lineRule="auto"/>
        <w:jc w:val="left"/>
      </w:pPr>
      <w:r>
        <w:rPr>
          <w:rFonts w:ascii="Times New Roman" w:hAnsi="Times New Roman" w:eastAsia="Times New Roman"/>
          <w:b/>
          <w:i w:val="0"/>
          <w:color w:val="000000"/>
          <w:sz w:val="26"/>
        </w:rPr>
        <w:t>3.5.4 Strategy Lab Run Lifecycle (Experimental Orchestration)</w:t>
      </w:r>
    </w:p>
    <w:p>
      <w:pPr>
        <w:spacing w:after="120" w:before="0" w:line="360" w:lineRule="auto"/>
        <w:ind w:firstLine="720"/>
        <w:jc w:val="both"/>
      </w:pPr>
      <w:r>
        <w:rPr>
          <w:rFonts w:ascii="Times New Roman" w:hAnsi="Times New Roman" w:eastAsia="Times New Roman"/>
          <w:b w:val="0"/>
          <w:i w:val="0"/>
          <w:sz w:val="26"/>
        </w:rPr>
        <w:t>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after="120" w:before="240" w:line="360" w:lineRule="auto"/>
        <w:jc w:val="center"/>
      </w:pPr>
      <w:r>
        <w:drawing>
          <wp:inline xmlns:a="http://schemas.openxmlformats.org/drawingml/2006/main" xmlns:pic="http://schemas.openxmlformats.org/drawingml/2006/picture">
            <wp:extent cx="5040000" cy="949257"/>
            <wp:docPr id="16" name="Picture 16"/>
            <wp:cNvGraphicFramePr>
              <a:graphicFrameLocks noChangeAspect="1"/>
            </wp:cNvGraphicFramePr>
            <a:graphic>
              <a:graphicData uri="http://schemas.openxmlformats.org/drawingml/2006/picture">
                <pic:pic>
                  <pic:nvPicPr>
                    <pic:cNvPr id="0" name="fig_3_7.png"/>
                    <pic:cNvPicPr/>
                  </pic:nvPicPr>
                  <pic:blipFill>
                    <a:blip r:embed="rId15"/>
                    <a:stretch>
                      <a:fillRect/>
                    </a:stretch>
                  </pic:blipFill>
                  <pic:spPr>
                    <a:xfrm>
                      <a:off x="0" y="0"/>
                      <a:ext cx="5040000" cy="949257"/>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3.7: Strategy Lab run lifecycle (experimental orchestration).</w:t>
      </w:r>
    </w:p>
    <w:p>
      <w:pPr>
        <w:spacing w:before="240" w:after="120" w:line="360" w:lineRule="auto"/>
        <w:jc w:val="left"/>
      </w:pPr>
      <w:r>
        <w:rPr>
          <w:rFonts w:ascii="Times New Roman" w:hAnsi="Times New Roman" w:eastAsia="Times New Roman"/>
          <w:b/>
          <w:i w:val="0"/>
          <w:color w:val="000000"/>
          <w:sz w:val="28"/>
        </w:rPr>
        <w:t>3.6 Evaluation Methodology</w:t>
      </w:r>
    </w:p>
    <w:p>
      <w:pPr>
        <w:spacing w:after="120" w:before="0" w:line="360" w:lineRule="auto"/>
        <w:ind w:firstLine="720"/>
        <w:jc w:val="both"/>
      </w:pPr>
      <w:r>
        <w:rPr>
          <w:rFonts w:ascii="Times New Roman" w:hAnsi="Times New Roman" w:eastAsia="Times New Roman"/>
          <w:b w:val="0"/>
          <w:i w:val="0"/>
          <w:sz w:val="26"/>
        </w:rPr>
        <w:t>This section operationalises assistant reliability as executable acceptance gates. Gate intent and threshold rationale are documented and enforced through reproducible evaluation suites that generate machine-readable artifacts suitable for audit.</w:t>
      </w:r>
    </w:p>
    <w:p>
      <w:pPr>
        <w:spacing w:after="120" w:before="0" w:line="360" w:lineRule="auto"/>
        <w:ind w:firstLine="720"/>
        <w:jc w:val="both"/>
      </w:pPr>
      <w:r>
        <w:rPr>
          <w:rFonts w:ascii="Times New Roman" w:hAnsi="Times New Roman" w:eastAsia="Times New Roman"/>
          <w:b w:val="0"/>
          <w:i w:val="0"/>
          <w:sz w:val="26"/>
        </w:rPr>
        <w:t>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240" w:after="120" w:line="360" w:lineRule="auto"/>
        <w:jc w:val="left"/>
      </w:pPr>
      <w:r>
        <w:rPr>
          <w:rFonts w:ascii="Times New Roman" w:hAnsi="Times New Roman" w:eastAsia="Times New Roman"/>
          <w:b/>
          <w:i w:val="0"/>
          <w:color w:val="000000"/>
          <w:sz w:val="26"/>
        </w:rPr>
        <w:t>3.6.1 Acceptance Gate Map (Objective -&gt; Artifact -&gt; Acceptance)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c>
          <w:tcPr>
            <w:tcW w:type="dxa" w:w="2268"/>
            <w:shd w:fill="D9E2F3" w:val="clear"/>
          </w:tcPr>
          <w:p>
            <w:pPr>
              <w:jc w:val="center"/>
            </w:pPr>
            <w:r/>
            <w:r>
              <w:rPr>
                <w:rFonts w:ascii="Times New Roman" w:hAnsi="Times New Roman" w:eastAsia="Times New Roman"/>
                <w:b/>
                <w:i w:val="0"/>
                <w:sz w:val="22"/>
              </w:rPr>
              <w:t>Gate</w:t>
            </w:r>
          </w:p>
        </w:tc>
        <w:tc>
          <w:tcPr>
            <w:tcW w:type="dxa" w:w="2268"/>
            <w:shd w:fill="D9E2F3" w:val="clear"/>
          </w:tcPr>
          <w:p>
            <w:pPr>
              <w:jc w:val="center"/>
            </w:pPr>
            <w:r/>
            <w:r>
              <w:rPr>
                <w:rFonts w:ascii="Times New Roman" w:hAnsi="Times New Roman" w:eastAsia="Times New Roman"/>
                <w:b/>
                <w:i w:val="0"/>
                <w:sz w:val="22"/>
              </w:rPr>
              <w:t>Objective</w:t>
            </w:r>
          </w:p>
        </w:tc>
        <w:tc>
          <w:tcPr>
            <w:tcW w:type="dxa" w:w="2268"/>
            <w:shd w:fill="D9E2F3" w:val="clear"/>
          </w:tcPr>
          <w:p>
            <w:pPr>
              <w:jc w:val="center"/>
            </w:pPr>
            <w:r/>
            <w:r>
              <w:rPr>
                <w:rFonts w:ascii="Times New Roman" w:hAnsi="Times New Roman" w:eastAsia="Times New Roman"/>
                <w:b/>
                <w:i w:val="0"/>
                <w:sz w:val="22"/>
              </w:rPr>
              <w:t>Primary artifact(s)</w:t>
            </w:r>
          </w:p>
        </w:tc>
        <w:tc>
          <w:tcPr>
            <w:tcW w:type="dxa" w:w="2268"/>
            <w:shd w:fill="D9E2F3" w:val="clear"/>
          </w:tcPr>
          <w:p>
            <w:pPr>
              <w:jc w:val="center"/>
            </w:pPr>
            <w:r/>
            <w:r>
              <w:rPr>
                <w:rFonts w:ascii="Times New Roman" w:hAnsi="Times New Roman" w:eastAsia="Times New Roman"/>
                <w:b/>
                <w:i w:val="0"/>
                <w:sz w:val="22"/>
              </w:rPr>
              <w:t>Acceptance signal</w:t>
            </w:r>
          </w:p>
        </w:tc>
      </w:tr>
      <w:tr>
        <w:tc>
          <w:tcPr>
            <w:tcW w:type="dxa" w:w="2268"/>
          </w:tcPr>
          <w:p>
            <w:pPr>
              <w:jc w:val="left"/>
            </w:pPr>
            <w:r/>
            <w:r>
              <w:rPr>
                <w:rFonts w:ascii="Times New Roman" w:hAnsi="Times New Roman" w:eastAsia="Times New Roman"/>
                <w:b w:val="0"/>
                <w:i w:val="0"/>
                <w:sz w:val="22"/>
              </w:rPr>
              <w:t>G0: Smoke correctness</w:t>
            </w:r>
          </w:p>
        </w:tc>
        <w:tc>
          <w:tcPr>
            <w:tcW w:type="dxa" w:w="2268"/>
          </w:tcPr>
          <w:p>
            <w:pPr>
              <w:jc w:val="left"/>
            </w:pPr>
            <w:r/>
            <w:r>
              <w:rPr>
                <w:rFonts w:ascii="Times New Roman" w:hAnsi="Times New Roman" w:eastAsia="Times New Roman"/>
                <w:b w:val="0"/>
                <w:i w:val="0"/>
                <w:sz w:val="22"/>
              </w:rPr>
              <w:t>Fast sanity check for grounded numeric behaviour and abstention on missing data</w:t>
            </w:r>
          </w:p>
        </w:tc>
        <w:tc>
          <w:tcPr>
            <w:tcW w:type="dxa" w:w="2268"/>
          </w:tcPr>
          <w:p>
            <w:pPr>
              <w:jc w:val="left"/>
            </w:pPr>
            <w:r/>
            <w:r>
              <w:rPr>
                <w:rFonts w:ascii="Times New Roman" w:hAnsi="Times New Roman" w:eastAsia="Times New Roman"/>
                <w:b w:val="0"/>
                <w:i w:val="0"/>
                <w:sz w:val="22"/>
              </w:rPr>
              <w:t>Lightweight report</w:t>
            </w:r>
          </w:p>
        </w:tc>
        <w:tc>
          <w:tcPr>
            <w:tcW w:type="dxa" w:w="2268"/>
          </w:tcPr>
          <w:p>
            <w:pPr>
              <w:jc w:val="left"/>
            </w:pPr>
            <w:r/>
            <w:r>
              <w:rPr>
                <w:rFonts w:ascii="Times New Roman" w:hAnsi="Times New Roman" w:eastAsia="Times New Roman"/>
                <w:b w:val="0"/>
                <w:i w:val="0"/>
                <w:sz w:val="22"/>
              </w:rPr>
              <w:t>Gate completes without failures</w:t>
            </w:r>
          </w:p>
        </w:tc>
      </w:tr>
      <w:tr>
        <w:tc>
          <w:tcPr>
            <w:tcW w:type="dxa" w:w="2268"/>
          </w:tcPr>
          <w:p>
            <w:pPr>
              <w:jc w:val="left"/>
            </w:pPr>
            <w:r/>
            <w:r>
              <w:rPr>
                <w:rFonts w:ascii="Times New Roman" w:hAnsi="Times New Roman" w:eastAsia="Times New Roman"/>
                <w:b w:val="0"/>
                <w:i w:val="0"/>
                <w:sz w:val="22"/>
              </w:rPr>
              <w:t>G1: Comprehensive reliability gate</w:t>
            </w:r>
          </w:p>
        </w:tc>
        <w:tc>
          <w:tcPr>
            <w:tcW w:type="dxa" w:w="2268"/>
          </w:tcPr>
          <w:p>
            <w:pPr>
              <w:jc w:val="left"/>
            </w:pPr>
            <w:r/>
            <w:r>
              <w:rPr>
                <w:rFonts w:ascii="Times New Roman" w:hAnsi="Times New Roman" w:eastAsia="Times New Roman"/>
                <w:b w:val="0"/>
                <w:i w:val="0"/>
                <w:sz w:val="22"/>
              </w:rPr>
              <w:t>End-to-end gate for data integrity, grounding, numeric fidelity, abstention, and safety</w:t>
            </w:r>
          </w:p>
        </w:tc>
        <w:tc>
          <w:tcPr>
            <w:tcW w:type="dxa" w:w="2268"/>
          </w:tcPr>
          <w:p>
            <w:pPr>
              <w:jc w:val="left"/>
            </w:pPr>
            <w:r/>
            <w:r>
              <w:rPr>
                <w:rFonts w:ascii="Times New Roman" w:hAnsi="Times New Roman" w:eastAsia="Times New Roman"/>
                <w:b w:val="0"/>
                <w:i w:val="0"/>
                <w:sz w:val="22"/>
              </w:rPr>
              <w:t>Comprehensive machine-readable report plus human-readable summary</w:t>
            </w:r>
          </w:p>
        </w:tc>
        <w:tc>
          <w:tcPr>
            <w:tcW w:type="dxa" w:w="2268"/>
          </w:tcPr>
          <w:p>
            <w:pPr>
              <w:jc w:val="left"/>
            </w:pPr>
            <w:r/>
            <w:r>
              <w:rPr>
                <w:rFonts w:ascii="Times New Roman" w:hAnsi="Times New Roman" w:eastAsia="Times New Roman"/>
                <w:b w:val="0"/>
                <w:i w:val="0"/>
                <w:sz w:val="22"/>
              </w:rPr>
              <w:t>All enforced checks pass</w:t>
            </w:r>
          </w:p>
        </w:tc>
      </w:tr>
      <w:tr>
        <w:tc>
          <w:tcPr>
            <w:tcW w:type="dxa" w:w="2268"/>
          </w:tcPr>
          <w:p>
            <w:pPr>
              <w:jc w:val="left"/>
            </w:pPr>
            <w:r/>
            <w:r>
              <w:rPr>
                <w:rFonts w:ascii="Times New Roman" w:hAnsi="Times New Roman" w:eastAsia="Times New Roman"/>
                <w:b w:val="0"/>
                <w:i w:val="0"/>
                <w:sz w:val="22"/>
              </w:rPr>
              <w:t>G2: Change acceptance gate</w:t>
            </w:r>
          </w:p>
        </w:tc>
        <w:tc>
          <w:tcPr>
            <w:tcW w:type="dxa" w:w="2268"/>
          </w:tcPr>
          <w:p>
            <w:pPr>
              <w:jc w:val="left"/>
            </w:pPr>
            <w:r/>
            <w:r>
              <w:rPr>
                <w:rFonts w:ascii="Times New Roman" w:hAnsi="Times New Roman" w:eastAsia="Times New Roman"/>
                <w:b w:val="0"/>
                <w:i w:val="0"/>
                <w:sz w:val="22"/>
              </w:rPr>
              <w:t>Minimal acceptance gate for routing, policy, and basic latency budgets</w:t>
            </w:r>
          </w:p>
        </w:tc>
        <w:tc>
          <w:tcPr>
            <w:tcW w:type="dxa" w:w="2268"/>
          </w:tcPr>
          <w:p>
            <w:pPr>
              <w:jc w:val="left"/>
            </w:pPr>
            <w:r/>
            <w:r>
              <w:rPr>
                <w:rFonts w:ascii="Times New Roman" w:hAnsi="Times New Roman" w:eastAsia="Times New Roman"/>
                <w:b w:val="0"/>
                <w:i w:val="0"/>
                <w:sz w:val="22"/>
              </w:rPr>
              <w:t>Acceptance report</w:t>
            </w:r>
          </w:p>
        </w:tc>
        <w:tc>
          <w:tcPr>
            <w:tcW w:type="dxa" w:w="2268"/>
          </w:tcPr>
          <w:p>
            <w:pPr>
              <w:jc w:val="left"/>
            </w:pPr>
            <w:r/>
            <w:r>
              <w:rPr>
                <w:rFonts w:ascii="Times New Roman" w:hAnsi="Times New Roman" w:eastAsia="Times New Roman"/>
                <w:b w:val="0"/>
                <w:i w:val="0"/>
                <w:sz w:val="22"/>
              </w:rPr>
              <w:t>Overall status indicates pass</w:t>
            </w:r>
          </w:p>
        </w:tc>
      </w:tr>
      <w:tr>
        <w:tc>
          <w:tcPr>
            <w:tcW w:type="dxa" w:w="2268"/>
          </w:tcPr>
          <w:p>
            <w:pPr>
              <w:jc w:val="left"/>
            </w:pPr>
            <w:r/>
            <w:r>
              <w:rPr>
                <w:rFonts w:ascii="Times New Roman" w:hAnsi="Times New Roman" w:eastAsia="Times New Roman"/>
                <w:b w:val="0"/>
                <w:i w:val="0"/>
                <w:sz w:val="22"/>
              </w:rPr>
              <w:t>G3a: Routing gate</w:t>
            </w:r>
          </w:p>
        </w:tc>
        <w:tc>
          <w:tcPr>
            <w:tcW w:type="dxa" w:w="2268"/>
          </w:tcPr>
          <w:p>
            <w:pPr>
              <w:jc w:val="left"/>
            </w:pPr>
            <w:r/>
            <w:r>
              <w:rPr>
                <w:rFonts w:ascii="Times New Roman" w:hAnsi="Times New Roman" w:eastAsia="Times New Roman"/>
                <w:b w:val="0"/>
                <w:i w:val="0"/>
                <w:sz w:val="22"/>
              </w:rPr>
              <w:t>Intent-to-tool correctness and tool-budget control</w:t>
            </w:r>
          </w:p>
        </w:tc>
        <w:tc>
          <w:tcPr>
            <w:tcW w:type="dxa" w:w="2268"/>
          </w:tcPr>
          <w:p>
            <w:pPr>
              <w:jc w:val="left"/>
            </w:pPr>
            <w:r/>
            <w:r>
              <w:rPr>
                <w:rFonts w:ascii="Times New Roman" w:hAnsi="Times New Roman" w:eastAsia="Times New Roman"/>
                <w:b w:val="0"/>
                <w:i w:val="0"/>
                <w:sz w:val="22"/>
              </w:rPr>
              <w:t>Routing report</w:t>
            </w:r>
          </w:p>
        </w:tc>
        <w:tc>
          <w:tcPr>
            <w:tcW w:type="dxa" w:w="2268"/>
          </w:tcPr>
          <w:p>
            <w:pPr>
              <w:jc w:val="left"/>
            </w:pPr>
            <w:r/>
            <w:r>
              <w:rPr>
                <w:rFonts w:ascii="Times New Roman" w:hAnsi="Times New Roman" w:eastAsia="Times New Roman"/>
                <w:b w:val="0"/>
                <w:i w:val="0"/>
                <w:sz w:val="22"/>
              </w:rPr>
              <w:t>Zero failed turns and latency gate pass</w:t>
            </w:r>
          </w:p>
        </w:tc>
      </w:tr>
      <w:tr>
        <w:tc>
          <w:tcPr>
            <w:tcW w:type="dxa" w:w="2268"/>
          </w:tcPr>
          <w:p>
            <w:pPr>
              <w:jc w:val="left"/>
            </w:pPr>
            <w:r/>
            <w:r>
              <w:rPr>
                <w:rFonts w:ascii="Times New Roman" w:hAnsi="Times New Roman" w:eastAsia="Times New Roman"/>
                <w:b w:val="0"/>
                <w:i w:val="0"/>
                <w:sz w:val="22"/>
              </w:rPr>
              <w:t>G3b: Real-world gate</w:t>
            </w:r>
          </w:p>
        </w:tc>
        <w:tc>
          <w:tcPr>
            <w:tcW w:type="dxa" w:w="2268"/>
          </w:tcPr>
          <w:p>
            <w:pPr>
              <w:jc w:val="left"/>
            </w:pPr>
            <w:r/>
            <w:r>
              <w:rPr>
                <w:rFonts w:ascii="Times New Roman" w:hAnsi="Times New Roman" w:eastAsia="Times New Roman"/>
                <w:b w:val="0"/>
                <w:i w:val="0"/>
                <w:sz w:val="22"/>
              </w:rPr>
              <w:t>Noisy, ambiguous, and multi-turn realism cases</w:t>
            </w:r>
          </w:p>
        </w:tc>
        <w:tc>
          <w:tcPr>
            <w:tcW w:type="dxa" w:w="2268"/>
          </w:tcPr>
          <w:p>
            <w:pPr>
              <w:jc w:val="left"/>
            </w:pPr>
            <w:r/>
            <w:r>
              <w:rPr>
                <w:rFonts w:ascii="Times New Roman" w:hAnsi="Times New Roman" w:eastAsia="Times New Roman"/>
                <w:b w:val="0"/>
                <w:i w:val="0"/>
                <w:sz w:val="22"/>
              </w:rPr>
              <w:t>Real-world report</w:t>
            </w:r>
          </w:p>
        </w:tc>
        <w:tc>
          <w:tcPr>
            <w:tcW w:type="dxa" w:w="2268"/>
          </w:tcPr>
          <w:p>
            <w:pPr>
              <w:jc w:val="left"/>
            </w:pPr>
            <w:r/>
            <w:r>
              <w:rPr>
                <w:rFonts w:ascii="Times New Roman" w:hAnsi="Times New Roman" w:eastAsia="Times New Roman"/>
                <w:b w:val="0"/>
                <w:i w:val="0"/>
                <w:sz w:val="22"/>
              </w:rPr>
              <w:t>Overall status indicates pass</w:t>
            </w:r>
          </w:p>
        </w:tc>
      </w:tr>
      <w:tr>
        <w:tc>
          <w:tcPr>
            <w:tcW w:type="dxa" w:w="2268"/>
          </w:tcPr>
          <w:p>
            <w:pPr>
              <w:jc w:val="left"/>
            </w:pPr>
            <w:r/>
            <w:r>
              <w:rPr>
                <w:rFonts w:ascii="Times New Roman" w:hAnsi="Times New Roman" w:eastAsia="Times New Roman"/>
                <w:b w:val="0"/>
                <w:i w:val="0"/>
                <w:sz w:val="22"/>
              </w:rPr>
              <w:t>G3c: Policy gate</w:t>
            </w:r>
          </w:p>
        </w:tc>
        <w:tc>
          <w:tcPr>
            <w:tcW w:type="dxa" w:w="2268"/>
          </w:tcPr>
          <w:p>
            <w:pPr>
              <w:jc w:val="left"/>
            </w:pPr>
            <w:r/>
            <w:r>
              <w:rPr>
                <w:rFonts w:ascii="Times New Roman" w:hAnsi="Times New Roman" w:eastAsia="Times New Roman"/>
                <w:b w:val="0"/>
                <w:i w:val="0"/>
                <w:sz w:val="22"/>
              </w:rPr>
              <w:t>Enforcement of policy statuses and citation expectations</w:t>
            </w:r>
          </w:p>
        </w:tc>
        <w:tc>
          <w:tcPr>
            <w:tcW w:type="dxa" w:w="2268"/>
          </w:tcPr>
          <w:p>
            <w:pPr>
              <w:jc w:val="left"/>
            </w:pPr>
            <w:r/>
            <w:r>
              <w:rPr>
                <w:rFonts w:ascii="Times New Roman" w:hAnsi="Times New Roman" w:eastAsia="Times New Roman"/>
                <w:b w:val="0"/>
                <w:i w:val="0"/>
                <w:sz w:val="22"/>
              </w:rPr>
              <w:t>Policy report</w:t>
            </w:r>
          </w:p>
        </w:tc>
        <w:tc>
          <w:tcPr>
            <w:tcW w:type="dxa" w:w="2268"/>
          </w:tcPr>
          <w:p>
            <w:pPr>
              <w:jc w:val="left"/>
            </w:pPr>
            <w:r/>
            <w:r>
              <w:rPr>
                <w:rFonts w:ascii="Times New Roman" w:hAnsi="Times New Roman" w:eastAsia="Times New Roman"/>
                <w:b w:val="0"/>
                <w:i w:val="0"/>
                <w:sz w:val="22"/>
              </w:rPr>
              <w:t>Overall status indicates pass</w:t>
            </w:r>
          </w:p>
        </w:tc>
      </w:tr>
      <w:tr>
        <w:tc>
          <w:tcPr>
            <w:tcW w:type="dxa" w:w="2268"/>
          </w:tcPr>
          <w:p>
            <w:pPr>
              <w:jc w:val="left"/>
            </w:pPr>
            <w:r/>
            <w:r>
              <w:rPr>
                <w:rFonts w:ascii="Times New Roman" w:hAnsi="Times New Roman" w:eastAsia="Times New Roman"/>
                <w:b w:val="0"/>
                <w:i w:val="0"/>
                <w:sz w:val="22"/>
              </w:rPr>
              <w:t>G3d: Performance gate</w:t>
            </w:r>
          </w:p>
        </w:tc>
        <w:tc>
          <w:tcPr>
            <w:tcW w:type="dxa" w:w="2268"/>
          </w:tcPr>
          <w:p>
            <w:pPr>
              <w:jc w:val="left"/>
            </w:pPr>
            <w:r/>
            <w:r>
              <w:rPr>
                <w:rFonts w:ascii="Times New Roman" w:hAnsi="Times New Roman" w:eastAsia="Times New Roman"/>
                <w:b w:val="0"/>
                <w:i w:val="0"/>
                <w:sz w:val="22"/>
              </w:rPr>
              <w:t>Pass-rate, tail-latency, and failure budgets</w:t>
            </w:r>
          </w:p>
        </w:tc>
        <w:tc>
          <w:tcPr>
            <w:tcW w:type="dxa" w:w="2268"/>
          </w:tcPr>
          <w:p>
            <w:pPr>
              <w:jc w:val="left"/>
            </w:pPr>
            <w:r/>
            <w:r>
              <w:rPr>
                <w:rFonts w:ascii="Times New Roman" w:hAnsi="Times New Roman" w:eastAsia="Times New Roman"/>
                <w:b w:val="0"/>
                <w:i w:val="0"/>
                <w:sz w:val="22"/>
              </w:rPr>
              <w:t>Performance report</w:t>
            </w:r>
          </w:p>
        </w:tc>
        <w:tc>
          <w:tcPr>
            <w:tcW w:type="dxa" w:w="2268"/>
          </w:tcPr>
          <w:p>
            <w:pPr>
              <w:jc w:val="left"/>
            </w:pPr>
            <w:r/>
            <w:r>
              <w:rPr>
                <w:rFonts w:ascii="Times New Roman" w:hAnsi="Times New Roman" w:eastAsia="Times New Roman"/>
                <w:b w:val="0"/>
                <w:i w:val="0"/>
                <w:sz w:val="22"/>
              </w:rPr>
              <w:t>Overall status indicates pass</w:t>
            </w:r>
          </w:p>
        </w:tc>
      </w:tr>
      <w:tr>
        <w:tc>
          <w:tcPr>
            <w:tcW w:type="dxa" w:w="2268"/>
          </w:tcPr>
          <w:p>
            <w:pPr>
              <w:jc w:val="left"/>
            </w:pPr>
            <w:r/>
            <w:r>
              <w:rPr>
                <w:rFonts w:ascii="Times New Roman" w:hAnsi="Times New Roman" w:eastAsia="Times New Roman"/>
                <w:b w:val="0"/>
                <w:i w:val="0"/>
                <w:sz w:val="22"/>
              </w:rPr>
              <w:t>G3e: Edge anomaly gate</w:t>
            </w:r>
          </w:p>
        </w:tc>
        <w:tc>
          <w:tcPr>
            <w:tcW w:type="dxa" w:w="2268"/>
          </w:tcPr>
          <w:p>
            <w:pPr>
              <w:jc w:val="left"/>
            </w:pPr>
            <w:r/>
            <w:r>
              <w:rPr>
                <w:rFonts w:ascii="Times New Roman" w:hAnsi="Times New Roman" w:eastAsia="Times New Roman"/>
                <w:b w:val="0"/>
                <w:i w:val="0"/>
                <w:sz w:val="22"/>
              </w:rPr>
              <w:t>Adversarial/edge cases for output-contract violations</w:t>
            </w:r>
          </w:p>
        </w:tc>
        <w:tc>
          <w:tcPr>
            <w:tcW w:type="dxa" w:w="2268"/>
          </w:tcPr>
          <w:p>
            <w:pPr>
              <w:jc w:val="left"/>
            </w:pPr>
            <w:r/>
            <w:r>
              <w:rPr>
                <w:rFonts w:ascii="Times New Roman" w:hAnsi="Times New Roman" w:eastAsia="Times New Roman"/>
                <w:b w:val="0"/>
                <w:i w:val="0"/>
                <w:sz w:val="22"/>
              </w:rPr>
              <w:t>Anomaly report</w:t>
            </w:r>
          </w:p>
        </w:tc>
        <w:tc>
          <w:tcPr>
            <w:tcW w:type="dxa" w:w="2268"/>
          </w:tcPr>
          <w:p>
            <w:pPr>
              <w:jc w:val="left"/>
            </w:pPr>
            <w:r/>
            <w:r>
              <w:rPr>
                <w:rFonts w:ascii="Times New Roman" w:hAnsi="Times New Roman" w:eastAsia="Times New Roman"/>
                <w:b w:val="0"/>
                <w:i w:val="0"/>
                <w:sz w:val="22"/>
              </w:rPr>
              <w:t>Overall status indicates pass</w:t>
            </w:r>
          </w:p>
        </w:tc>
      </w:tr>
      <w:tr>
        <w:tc>
          <w:tcPr>
            <w:tcW w:type="dxa" w:w="2268"/>
          </w:tcPr>
          <w:p>
            <w:pPr>
              <w:jc w:val="left"/>
            </w:pPr>
            <w:r/>
            <w:r>
              <w:rPr>
                <w:rFonts w:ascii="Times New Roman" w:hAnsi="Times New Roman" w:eastAsia="Times New Roman"/>
                <w:b w:val="0"/>
                <w:i w:val="0"/>
                <w:sz w:val="22"/>
              </w:rPr>
              <w:t>G4: Stability gate</w:t>
            </w:r>
          </w:p>
        </w:tc>
        <w:tc>
          <w:tcPr>
            <w:tcW w:type="dxa" w:w="2268"/>
          </w:tcPr>
          <w:p>
            <w:pPr>
              <w:jc w:val="left"/>
            </w:pPr>
            <w:r/>
            <w:r>
              <w:rPr>
                <w:rFonts w:ascii="Times New Roman" w:hAnsi="Times New Roman" w:eastAsia="Times New Roman"/>
                <w:b w:val="0"/>
                <w:i w:val="0"/>
                <w:sz w:val="22"/>
              </w:rPr>
              <w:t>Multi-round anti-flake validation across suites</w:t>
            </w:r>
          </w:p>
        </w:tc>
        <w:tc>
          <w:tcPr>
            <w:tcW w:type="dxa" w:w="2268"/>
          </w:tcPr>
          <w:p>
            <w:pPr>
              <w:jc w:val="left"/>
            </w:pPr>
            <w:r/>
            <w:r>
              <w:rPr>
                <w:rFonts w:ascii="Times New Roman" w:hAnsi="Times New Roman" w:eastAsia="Times New Roman"/>
                <w:b w:val="0"/>
                <w:i w:val="0"/>
                <w:sz w:val="22"/>
              </w:rPr>
              <w:t>Stability report plus per-round records</w:t>
            </w:r>
          </w:p>
        </w:tc>
        <w:tc>
          <w:tcPr>
            <w:tcW w:type="dxa" w:w="2268"/>
          </w:tcPr>
          <w:p>
            <w:pPr>
              <w:jc w:val="left"/>
            </w:pPr>
            <w:r/>
            <w:r>
              <w:rPr>
                <w:rFonts w:ascii="Times New Roman" w:hAnsi="Times New Roman" w:eastAsia="Times New Roman"/>
                <w:b w:val="0"/>
                <w:i w:val="0"/>
                <w:sz w:val="22"/>
              </w:rPr>
              <w:t>Aggregate status indicates pass</w:t>
            </w:r>
          </w:p>
        </w:tc>
      </w:tr>
      <w:tr>
        <w:tc>
          <w:tcPr>
            <w:tcW w:type="dxa" w:w="2268"/>
          </w:tcPr>
          <w:p>
            <w:pPr>
              <w:jc w:val="left"/>
            </w:pPr>
            <w:r/>
            <w:r>
              <w:rPr>
                <w:rFonts w:ascii="Times New Roman" w:hAnsi="Times New Roman" w:eastAsia="Times New Roman"/>
                <w:b w:val="0"/>
                <w:i w:val="0"/>
                <w:sz w:val="22"/>
              </w:rPr>
              <w:t>G5: Drift baseline/monitoring</w:t>
            </w:r>
          </w:p>
        </w:tc>
        <w:tc>
          <w:tcPr>
            <w:tcW w:type="dxa" w:w="2268"/>
          </w:tcPr>
          <w:p>
            <w:pPr>
              <w:jc w:val="left"/>
            </w:pPr>
            <w:r/>
            <w:r>
              <w:rPr>
                <w:rFonts w:ascii="Times New Roman" w:hAnsi="Times New Roman" w:eastAsia="Times New Roman"/>
                <w:b w:val="0"/>
                <w:i w:val="0"/>
                <w:sz w:val="22"/>
              </w:rPr>
              <w:t>Longitudinal regression surveillance and triage preparation</w:t>
            </w:r>
          </w:p>
        </w:tc>
        <w:tc>
          <w:tcPr>
            <w:tcW w:type="dxa" w:w="2268"/>
          </w:tcPr>
          <w:p>
            <w:pPr>
              <w:jc w:val="left"/>
            </w:pPr>
            <w:r/>
            <w:r>
              <w:rPr>
                <w:rFonts w:ascii="Times New Roman" w:hAnsi="Times New Roman" w:eastAsia="Times New Roman"/>
                <w:b w:val="0"/>
                <w:i w:val="0"/>
                <w:sz w:val="22"/>
              </w:rPr>
              <w:t>Drift baseline report plus summary</w:t>
            </w:r>
          </w:p>
        </w:tc>
        <w:tc>
          <w:tcPr>
            <w:tcW w:type="dxa" w:w="2268"/>
          </w:tcPr>
          <w:p>
            <w:pPr>
              <w:jc w:val="left"/>
            </w:pPr>
            <w:r/>
            <w:r>
              <w:rPr>
                <w:rFonts w:ascii="Times New Roman" w:hAnsi="Times New Roman" w:eastAsia="Times New Roman"/>
                <w:b w:val="0"/>
                <w:i w:val="0"/>
                <w:sz w:val="22"/>
              </w:rPr>
              <w:t>Baseline produced for later comparison</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Operational cadence follows a conservative fintech release logic: incremental changes are gated by a minimal acceptance track, while thesis-grade reporting requires stability-oriented and comprehensive tracks.</w:t>
      </w:r>
    </w:p>
    <w:p>
      <w:pPr>
        <w:spacing w:before="240" w:after="120" w:line="360" w:lineRule="auto"/>
        <w:jc w:val="left"/>
      </w:pPr>
      <w:r>
        <w:rPr>
          <w:rFonts w:ascii="Times New Roman" w:hAnsi="Times New Roman" w:eastAsia="Times New Roman"/>
          <w:b/>
          <w:i w:val="0"/>
          <w:color w:val="000000"/>
          <w:sz w:val="26"/>
        </w:rPr>
        <w:t>3.6.2 Core Metrics and Thresholds</w:t>
      </w:r>
    </w:p>
    <w:p>
      <w:pPr>
        <w:spacing w:after="120" w:before="0" w:line="360" w:lineRule="auto"/>
        <w:ind w:firstLine="720"/>
        <w:jc w:val="both"/>
      </w:pPr>
      <w:r>
        <w:rPr>
          <w:rFonts w:ascii="Times New Roman" w:hAnsi="Times New Roman" w:eastAsia="Times New Roman"/>
          <w:b w:val="0"/>
          <w:i w:val="0"/>
          <w:sz w:val="26"/>
        </w:rPr>
        <w:t>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5"/>
        <w:gridCol w:w="4535"/>
      </w:tblGrid>
      <w:tr>
        <w:tc>
          <w:tcPr>
            <w:tcW w:type="dxa" w:w="4535"/>
            <w:shd w:fill="D9E2F3" w:val="clear"/>
          </w:tcPr>
          <w:p>
            <w:pPr>
              <w:jc w:val="center"/>
            </w:pPr>
            <w:r/>
            <w:r>
              <w:rPr>
                <w:rFonts w:ascii="Times New Roman" w:hAnsi="Times New Roman" w:eastAsia="Times New Roman"/>
                <w:b/>
                <w:i w:val="0"/>
                <w:sz w:val="22"/>
              </w:rPr>
              <w:t>Metric family</w:t>
            </w:r>
          </w:p>
        </w:tc>
        <w:tc>
          <w:tcPr>
            <w:tcW w:type="dxa" w:w="4535"/>
            <w:shd w:fill="D9E2F3" w:val="clear"/>
          </w:tcPr>
          <w:p>
            <w:pPr>
              <w:jc w:val="center"/>
            </w:pPr>
            <w:r/>
            <w:r>
              <w:rPr>
                <w:rFonts w:ascii="Times New Roman" w:hAnsi="Times New Roman" w:eastAsia="Times New Roman"/>
                <w:b/>
                <w:i w:val="0"/>
                <w:sz w:val="22"/>
              </w:rPr>
              <w:t>Operational definition (summary)</w:t>
            </w:r>
          </w:p>
        </w:tc>
      </w:tr>
      <w:tr>
        <w:tc>
          <w:tcPr>
            <w:tcW w:type="dxa" w:w="4535"/>
          </w:tcPr>
          <w:p>
            <w:pPr>
              <w:jc w:val="left"/>
            </w:pPr>
            <w:r/>
            <w:r>
              <w:rPr>
                <w:rFonts w:ascii="Times New Roman" w:hAnsi="Times New Roman" w:eastAsia="Times New Roman"/>
                <w:b w:val="0"/>
                <w:i w:val="0"/>
                <w:sz w:val="22"/>
              </w:rPr>
              <w:t>Unsupported claim rate</w:t>
            </w:r>
          </w:p>
        </w:tc>
        <w:tc>
          <w:tcPr>
            <w:tcW w:type="dxa" w:w="4535"/>
          </w:tcPr>
          <w:p>
            <w:pPr>
              <w:jc w:val="left"/>
            </w:pPr>
            <w:r/>
            <w:r>
              <w:rPr>
                <w:rFonts w:ascii="Times New Roman" w:hAnsi="Times New Roman" w:eastAsia="Times New Roman"/>
                <w:b w:val="0"/>
                <w:i w:val="0"/>
                <w:sz w:val="22"/>
              </w:rPr>
              <w:t>Proportion of atomic claims lacking supporting tool evidence</w:t>
            </w:r>
          </w:p>
        </w:tc>
      </w:tr>
      <w:tr>
        <w:tc>
          <w:tcPr>
            <w:tcW w:type="dxa" w:w="4535"/>
          </w:tcPr>
          <w:p>
            <w:pPr>
              <w:jc w:val="left"/>
            </w:pPr>
            <w:r/>
            <w:r>
              <w:rPr>
                <w:rFonts w:ascii="Times New Roman" w:hAnsi="Times New Roman" w:eastAsia="Times New Roman"/>
                <w:b w:val="0"/>
                <w:i w:val="0"/>
                <w:sz w:val="22"/>
              </w:rPr>
              <w:t>Supported-claim precision</w:t>
            </w:r>
          </w:p>
        </w:tc>
        <w:tc>
          <w:tcPr>
            <w:tcW w:type="dxa" w:w="4535"/>
          </w:tcPr>
          <w:p>
            <w:pPr>
              <w:jc w:val="left"/>
            </w:pPr>
            <w:r/>
            <w:r>
              <w:rPr>
                <w:rFonts w:ascii="Times New Roman" w:hAnsi="Times New Roman" w:eastAsia="Times New Roman"/>
                <w:b w:val="0"/>
                <w:i w:val="0"/>
                <w:sz w:val="22"/>
              </w:rPr>
              <w:t>Accuracy rate among claims that are supported by evidence</w:t>
            </w:r>
          </w:p>
        </w:tc>
      </w:tr>
      <w:tr>
        <w:tc>
          <w:tcPr>
            <w:tcW w:type="dxa" w:w="4535"/>
          </w:tcPr>
          <w:p>
            <w:pPr>
              <w:jc w:val="left"/>
            </w:pPr>
            <w:r/>
            <w:r>
              <w:rPr>
                <w:rFonts w:ascii="Times New Roman" w:hAnsi="Times New Roman" w:eastAsia="Times New Roman"/>
                <w:b w:val="0"/>
                <w:i w:val="0"/>
                <w:sz w:val="22"/>
              </w:rPr>
              <w:t>Overall claim accuracy</w:t>
            </w:r>
          </w:p>
        </w:tc>
        <w:tc>
          <w:tcPr>
            <w:tcW w:type="dxa" w:w="4535"/>
          </w:tcPr>
          <w:p>
            <w:pPr>
              <w:jc w:val="left"/>
            </w:pPr>
            <w:r/>
            <w:r>
              <w:rPr>
                <w:rFonts w:ascii="Times New Roman" w:hAnsi="Times New Roman" w:eastAsia="Times New Roman"/>
                <w:b w:val="0"/>
                <w:i w:val="0"/>
                <w:sz w:val="22"/>
              </w:rPr>
              <w:t>Accuracy rate across all extracted claims</w:t>
            </w:r>
          </w:p>
        </w:tc>
      </w:tr>
      <w:tr>
        <w:tc>
          <w:tcPr>
            <w:tcW w:type="dxa" w:w="4535"/>
          </w:tcPr>
          <w:p>
            <w:pPr>
              <w:jc w:val="left"/>
            </w:pPr>
            <w:r/>
            <w:r>
              <w:rPr>
                <w:rFonts w:ascii="Times New Roman" w:hAnsi="Times New Roman" w:eastAsia="Times New Roman"/>
                <w:b w:val="0"/>
                <w:i w:val="0"/>
                <w:sz w:val="22"/>
              </w:rPr>
              <w:t>Abstention accuracy</w:t>
            </w:r>
          </w:p>
        </w:tc>
        <w:tc>
          <w:tcPr>
            <w:tcW w:type="dxa" w:w="4535"/>
          </w:tcPr>
          <w:p>
            <w:pPr>
              <w:jc w:val="left"/>
            </w:pPr>
            <w:r/>
            <w:r>
              <w:rPr>
                <w:rFonts w:ascii="Times New Roman" w:hAnsi="Times New Roman" w:eastAsia="Times New Roman"/>
                <w:b w:val="0"/>
                <w:i w:val="0"/>
                <w:sz w:val="22"/>
              </w:rPr>
              <w:t>Correctness of abstention decisions under insufficient evidence</w:t>
            </w:r>
          </w:p>
        </w:tc>
      </w:tr>
      <w:tr>
        <w:tc>
          <w:tcPr>
            <w:tcW w:type="dxa" w:w="4535"/>
          </w:tcPr>
          <w:p>
            <w:pPr>
              <w:jc w:val="left"/>
            </w:pPr>
            <w:r/>
            <w:r>
              <w:rPr>
                <w:rFonts w:ascii="Times New Roman" w:hAnsi="Times New Roman" w:eastAsia="Times New Roman"/>
                <w:b w:val="0"/>
                <w:i w:val="0"/>
                <w:sz w:val="22"/>
              </w:rPr>
              <w:t>Grounding pass rate</w:t>
            </w:r>
          </w:p>
        </w:tc>
        <w:tc>
          <w:tcPr>
            <w:tcW w:type="dxa" w:w="4535"/>
          </w:tcPr>
          <w:p>
            <w:pPr>
              <w:jc w:val="left"/>
            </w:pPr>
            <w:r/>
            <w:r>
              <w:rPr>
                <w:rFonts w:ascii="Times New Roman" w:hAnsi="Times New Roman" w:eastAsia="Times New Roman"/>
                <w:b w:val="0"/>
                <w:i w:val="0"/>
                <w:sz w:val="22"/>
              </w:rPr>
              <w:t>Proportion of turns satisfying grounding and citation requirements</w:t>
            </w:r>
          </w:p>
        </w:tc>
      </w:tr>
      <w:tr>
        <w:tc>
          <w:tcPr>
            <w:tcW w:type="dxa" w:w="4535"/>
          </w:tcPr>
          <w:p>
            <w:pPr>
              <w:jc w:val="left"/>
            </w:pPr>
            <w:r/>
            <w:r>
              <w:rPr>
                <w:rFonts w:ascii="Times New Roman" w:hAnsi="Times New Roman" w:eastAsia="Times New Roman"/>
                <w:b w:val="0"/>
                <w:i w:val="0"/>
                <w:sz w:val="22"/>
              </w:rPr>
              <w:t>Coverage guardrails</w:t>
            </w:r>
          </w:p>
        </w:tc>
        <w:tc>
          <w:tcPr>
            <w:tcW w:type="dxa" w:w="4535"/>
          </w:tcPr>
          <w:p>
            <w:pPr>
              <w:jc w:val="left"/>
            </w:pPr>
            <w:r/>
            <w:r>
              <w:rPr>
                <w:rFonts w:ascii="Times New Roman" w:hAnsi="Times New Roman" w:eastAsia="Times New Roman"/>
                <w:b w:val="0"/>
                <w:i w:val="0"/>
                <w:sz w:val="22"/>
              </w:rPr>
              <w:t>Coverage across symbols and across predefined scenario strata</w:t>
            </w:r>
          </w:p>
        </w:tc>
      </w:tr>
      <w:tr>
        <w:tc>
          <w:tcPr>
            <w:tcW w:type="dxa" w:w="4535"/>
          </w:tcPr>
          <w:p>
            <w:pPr>
              <w:jc w:val="left"/>
            </w:pPr>
            <w:r/>
            <w:r>
              <w:rPr>
                <w:rFonts w:ascii="Times New Roman" w:hAnsi="Times New Roman" w:eastAsia="Times New Roman"/>
                <w:b w:val="0"/>
                <w:i w:val="0"/>
                <w:sz w:val="22"/>
              </w:rPr>
              <w:t>Numeric-fidelity guardrails</w:t>
            </w:r>
          </w:p>
        </w:tc>
        <w:tc>
          <w:tcPr>
            <w:tcW w:type="dxa" w:w="4535"/>
          </w:tcPr>
          <w:p>
            <w:pPr>
              <w:jc w:val="left"/>
            </w:pPr>
            <w:r/>
            <w:r>
              <w:rPr>
                <w:rFonts w:ascii="Times New Roman" w:hAnsi="Times New Roman" w:eastAsia="Times New Roman"/>
                <w:b w:val="0"/>
                <w:i w:val="0"/>
                <w:sz w:val="22"/>
              </w:rPr>
              <w:t>Symbol-level pass rate for numeric-fidelity checks</w:t>
            </w:r>
          </w:p>
        </w:tc>
      </w:tr>
      <w:tr>
        <w:tc>
          <w:tcPr>
            <w:tcW w:type="dxa" w:w="4535"/>
          </w:tcPr>
          <w:p>
            <w:pPr>
              <w:jc w:val="left"/>
            </w:pPr>
            <w:r/>
            <w:r>
              <w:rPr>
                <w:rFonts w:ascii="Times New Roman" w:hAnsi="Times New Roman" w:eastAsia="Times New Roman"/>
                <w:b w:val="0"/>
                <w:i w:val="0"/>
                <w:sz w:val="22"/>
              </w:rPr>
              <w:t>Robustness guardrails</w:t>
            </w:r>
          </w:p>
        </w:tc>
        <w:tc>
          <w:tcPr>
            <w:tcW w:type="dxa" w:w="4535"/>
          </w:tcPr>
          <w:p>
            <w:pPr>
              <w:jc w:val="left"/>
            </w:pPr>
            <w:r/>
            <w:r>
              <w:rPr>
                <w:rFonts w:ascii="Times New Roman" w:hAnsi="Times New Roman" w:eastAsia="Times New Roman"/>
                <w:b w:val="0"/>
                <w:i w:val="0"/>
                <w:sz w:val="22"/>
              </w:rPr>
              <w:t>Pass rate under adversarial or deceptive prompts (when enforced)</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240" w:after="120" w:line="360" w:lineRule="auto"/>
        <w:jc w:val="left"/>
      </w:pPr>
      <w:r>
        <w:rPr>
          <w:rFonts w:ascii="Times New Roman" w:hAnsi="Times New Roman" w:eastAsia="Times New Roman"/>
          <w:b/>
          <w:i w:val="0"/>
          <w:color w:val="000000"/>
          <w:sz w:val="26"/>
        </w:rPr>
        <w:t>3.6.3 Reproducibility Protocol</w:t>
      </w:r>
    </w:p>
    <w:p>
      <w:pPr>
        <w:spacing w:after="120" w:before="0" w:line="360" w:lineRule="auto"/>
        <w:ind w:firstLine="720"/>
        <w:jc w:val="both"/>
      </w:pPr>
      <w:r>
        <w:rPr>
          <w:rFonts w:ascii="Times New Roman" w:hAnsi="Times New Roman" w:eastAsia="Times New Roman"/>
          <w:b w:val="0"/>
          <w:i w:val="0"/>
          <w:sz w:val="26"/>
        </w:rPr>
        <w:t>To ensure repeatable evidence for Chapter 4, each reported run follows a reproducibility protocol:</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Execute a predefined gate track. A minimal track is used for incremental validation, while a thesis-grade track runs comprehensive and stability-oriented suites and produces a drift baseline for later comparison.</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Verify artifact completeness. At minimum, a machine-readable report and a human-readable summary are required for comprehensive gates, together with records for minimal, stability, and drift baseline tracks.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Apply deterministic acceptance rules. A run is accepted only when all mandatory gates pass and required artifacts are present, enabling audit without reinterpretation of raw logs.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Preserve evidence for auditability. Generated artifacts are archived together with a configuration snapshot so that thesis claims can be rechecked under the same conditions.</w:t>
      </w:r>
    </w:p>
    <w:p>
      <w:pPr>
        <w:spacing w:before="240" w:after="120" w:line="360" w:lineRule="auto"/>
        <w:jc w:val="left"/>
      </w:pPr>
      <w:r>
        <w:rPr>
          <w:rFonts w:ascii="Times New Roman" w:hAnsi="Times New Roman" w:eastAsia="Times New Roman"/>
          <w:b/>
          <w:i w:val="0"/>
          <w:color w:val="000000"/>
          <w:sz w:val="28"/>
        </w:rPr>
        <w:t>3.7 Summary</w:t>
      </w:r>
    </w:p>
    <w:p>
      <w:pPr>
        <w:spacing w:after="120" w:before="0" w:line="360" w:lineRule="auto"/>
        <w:ind w:firstLine="720"/>
        <w:jc w:val="both"/>
      </w:pPr>
      <w:r>
        <w:rPr>
          <w:rFonts w:ascii="Times New Roman" w:hAnsi="Times New Roman" w:eastAsia="Times New Roman"/>
          <w:b w:val="0"/>
          <w:i w:val="0"/>
          <w:sz w:val="26"/>
        </w:rPr>
        <w:t>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r>
        <w:br w:type="page"/>
      </w:r>
    </w:p>
    <w:p>
      <w:pPr>
        <w:spacing w:before="360" w:after="120" w:line="360" w:lineRule="auto"/>
        <w:jc w:val="left"/>
      </w:pPr>
      <w:r>
        <w:rPr>
          <w:rFonts w:ascii="Times New Roman" w:hAnsi="Times New Roman" w:eastAsia="Times New Roman"/>
          <w:b/>
          <w:i w:val="0"/>
          <w:color w:val="000000"/>
          <w:sz w:val="32"/>
        </w:rPr>
        <w:t>Chapter 4: Implementation and Experimental Results</w:t>
      </w:r>
    </w:p>
    <w:p>
      <w:pPr>
        <w:spacing w:before="240" w:after="120" w:line="360" w:lineRule="auto"/>
        <w:jc w:val="left"/>
      </w:pPr>
      <w:r>
        <w:rPr>
          <w:rFonts w:ascii="Times New Roman" w:hAnsi="Times New Roman" w:eastAsia="Times New Roman"/>
          <w:b/>
          <w:i w:val="0"/>
          <w:color w:val="000000"/>
          <w:sz w:val="28"/>
        </w:rPr>
        <w:t>4.1 Implementation Overview</w:t>
      </w:r>
    </w:p>
    <w:p>
      <w:pPr>
        <w:spacing w:after="120" w:before="0" w:line="360" w:lineRule="auto"/>
        <w:ind w:firstLine="720"/>
        <w:jc w:val="both"/>
      </w:pPr>
      <w:r>
        <w:rPr>
          <w:rFonts w:ascii="Times New Roman" w:hAnsi="Times New Roman" w:eastAsia="Times New Roman"/>
          <w:b w:val="0"/>
          <w:i w:val="0"/>
          <w:sz w:val="26"/>
        </w:rPr>
        <w:t>This chapter maps the implemented QuantVN system to concrete engineering artifacts in the repository. The implementation is split across: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UI pages (</w:t>
      </w:r>
      <w:r>
        <w:rPr>
          <w:rFonts w:ascii="Times New Roman" w:hAnsi="Times New Roman" w:eastAsia="Times New Roman"/>
          <w:b w:val="0"/>
          <w:i w:val="0"/>
          <w:sz w:val="26"/>
        </w:rPr>
        <w:t>src/app/*</w:t>
      </w:r>
      <w:r>
        <w:rPr>
          <w:rFonts w:ascii="Times New Roman" w:hAnsi="Times New Roman" w:eastAsia="Times New Roman"/>
          <w:b w:val="0"/>
          <w:i w:val="0"/>
          <w:sz w:val="26"/>
        </w:rPr>
        <w:t>) for stock screening, charting, backtesting, portfolio optimization, risk, factor analysis, and learning content.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API routes (</w:t>
      </w:r>
      <w:r>
        <w:rPr>
          <w:rFonts w:ascii="Times New Roman" w:hAnsi="Times New Roman" w:eastAsia="Times New Roman"/>
          <w:b w:val="0"/>
          <w:i w:val="0"/>
          <w:sz w:val="26"/>
        </w:rPr>
        <w:t>src/app/api/*/route.ts</w:t>
      </w:r>
      <w:r>
        <w:rPr>
          <w:rFonts w:ascii="Times New Roman" w:hAnsi="Times New Roman" w:eastAsia="Times New Roman"/>
          <w:b w:val="0"/>
          <w:i w:val="0"/>
          <w:sz w:val="26"/>
        </w:rPr>
        <w:t>) that validate requests, apply rate limits, and orchestrate data loading and quant computation.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Core libraries (</w:t>
      </w:r>
      <w:r>
        <w:rPr>
          <w:rFonts w:ascii="Times New Roman" w:hAnsi="Times New Roman" w:eastAsia="Times New Roman"/>
          <w:b w:val="0"/>
          <w:i w:val="0"/>
          <w:sz w:val="26"/>
        </w:rPr>
        <w:t>src/lib/*</w:t>
      </w:r>
      <w:r>
        <w:rPr>
          <w:rFonts w:ascii="Times New Roman" w:hAnsi="Times New Roman" w:eastAsia="Times New Roman"/>
          <w:b w:val="0"/>
          <w:i w:val="0"/>
          <w:sz w:val="26"/>
        </w:rPr>
        <w:t>) that implement data reliability gates, quant methods, and assistant grounding/policy logic.</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Scripts (</w:t>
      </w:r>
      <w:r>
        <w:rPr>
          <w:rFonts w:ascii="Times New Roman" w:hAnsi="Times New Roman" w:eastAsia="Times New Roman"/>
          <w:b w:val="0"/>
          <w:i w:val="0"/>
          <w:sz w:val="26"/>
        </w:rPr>
        <w:t>scripts/*.mjs</w:t>
      </w:r>
      <w:r>
        <w:rPr>
          <w:rFonts w:ascii="Times New Roman" w:hAnsi="Times New Roman" w:eastAsia="Times New Roman"/>
          <w:b w:val="0"/>
          <w:i w:val="0"/>
          <w:sz w:val="26"/>
        </w:rPr>
        <w:t>) that prepare runtime data, run smoke/QA checks, and evaluate assistant reliability.</w:t>
      </w:r>
    </w:p>
    <w:p>
      <w:pPr>
        <w:spacing w:after="120" w:before="0" w:line="360" w:lineRule="auto"/>
        <w:ind w:firstLine="720"/>
        <w:jc w:val="both"/>
      </w:pPr>
      <w:r>
        <w:rPr>
          <w:rFonts w:ascii="Times New Roman" w:hAnsi="Times New Roman" w:eastAsia="Times New Roman"/>
          <w:b w:val="0"/>
          <w:i w:val="0"/>
          <w:sz w:val="26"/>
        </w:rPr>
        <w:t>The primary robustness goal is to ensure numeric outputs are either (a) backed by validated internal data/tools, or (b) blocked with an explicit fallback when evidence is missing. This applies both to quant endpoints (data quality and timeline policies) and to the assistant (grounding, citations, policy gating).</w:t>
      </w:r>
    </w:p>
    <w:p>
      <w:pPr>
        <w:spacing w:after="120" w:before="240" w:line="360" w:lineRule="auto"/>
        <w:jc w:val="center"/>
      </w:pPr>
      <w:r>
        <w:drawing>
          <wp:inline xmlns:a="http://schemas.openxmlformats.org/drawingml/2006/main" xmlns:pic="http://schemas.openxmlformats.org/drawingml/2006/picture">
            <wp:extent cx="5040000" cy="1540431"/>
            <wp:docPr id="17" name="Picture 17"/>
            <wp:cNvGraphicFramePr>
              <a:graphicFrameLocks noChangeAspect="1"/>
            </wp:cNvGraphicFramePr>
            <a:graphic>
              <a:graphicData uri="http://schemas.openxmlformats.org/drawingml/2006/picture">
                <pic:pic>
                  <pic:nvPicPr>
                    <pic:cNvPr id="0" name="fig_4_1.png"/>
                    <pic:cNvPicPr/>
                  </pic:nvPicPr>
                  <pic:blipFill>
                    <a:blip r:embed="rId16"/>
                    <a:stretch>
                      <a:fillRect/>
                    </a:stretch>
                  </pic:blipFill>
                  <pic:spPr>
                    <a:xfrm>
                      <a:off x="0" y="0"/>
                      <a:ext cx="5040000" cy="1540431"/>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4.1: Docker topology (dev + smoke + QA).</w:t>
      </w:r>
    </w:p>
    <w:p>
      <w:pPr>
        <w:spacing w:before="240" w:after="120" w:line="360" w:lineRule="auto"/>
        <w:jc w:val="left"/>
      </w:pPr>
      <w:r>
        <w:rPr>
          <w:rFonts w:ascii="Times New Roman" w:hAnsi="Times New Roman" w:eastAsia="Times New Roman"/>
          <w:b/>
          <w:i w:val="0"/>
          <w:color w:val="000000"/>
          <w:sz w:val="28"/>
        </w:rPr>
        <w:t>4.2 Key Engineering Artifacts</w:t>
      </w:r>
    </w:p>
    <w:p>
      <w:pPr>
        <w:spacing w:after="120" w:before="0" w:line="360" w:lineRule="auto"/>
        <w:ind w:firstLine="720"/>
        <w:jc w:val="both"/>
      </w:pPr>
      <w:r>
        <w:rPr>
          <w:rFonts w:ascii="Times New Roman" w:hAnsi="Times New Roman" w:eastAsia="Times New Roman"/>
          <w:b w:val="0"/>
          <w:i w:val="0"/>
          <w:sz w:val="26"/>
        </w:rPr>
        <w:t>Key files and responsibilities: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App layout and global composition: </w:t>
      </w:r>
      <w:r>
        <w:rPr>
          <w:rFonts w:ascii="Times New Roman" w:hAnsi="Times New Roman" w:eastAsia="Times New Roman"/>
          <w:b w:val="0"/>
          <w:i w:val="0"/>
          <w:sz w:val="26"/>
        </w:rPr>
        <w:t>src/app/layout.tsx</w:t>
      </w:r>
      <w:r>
        <w:rPr>
          <w:rFonts w:ascii="Times New Roman" w:hAnsi="Times New Roman" w:eastAsia="Times New Roman"/>
          <w:b w:val="0"/>
          <w:i w:val="0"/>
          <w:sz w:val="26"/>
        </w:rPr>
        <w:t xml:space="preserve"> (theme provider, layout chrome, toasts, command palette, assistant panel).</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Core data loading and quality gates: </w:t>
      </w:r>
      <w:r>
        <w:rPr>
          <w:rFonts w:ascii="Times New Roman" w:hAnsi="Times New Roman" w:eastAsia="Times New Roman"/>
          <w:b w:val="0"/>
          <w:i w:val="0"/>
          <w:sz w:val="26"/>
        </w:rPr>
        <w:t>src/lib/data.ts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src/lib/dataBackend.ts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src/lib/dataManifest.ts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src/lib/csvLoader.ts</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Quant computation core: </w:t>
      </w:r>
      <w:r>
        <w:rPr>
          <w:rFonts w:ascii="Times New Roman" w:hAnsi="Times New Roman" w:eastAsia="Times New Roman"/>
          <w:b w:val="0"/>
          <w:i w:val="0"/>
          <w:sz w:val="26"/>
        </w:rPr>
        <w:t>src/lib/quant/backtest.ts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src/lib/quant/indicators.ts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src/lib/quant/risk.ts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src/lib/quant/portfolio.ts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src/lib/quant/factors.ts</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Rate limiting and client identification: </w:t>
      </w:r>
      <w:r>
        <w:rPr>
          <w:rFonts w:ascii="Times New Roman" w:hAnsi="Times New Roman" w:eastAsia="Times New Roman"/>
          <w:b w:val="0"/>
          <w:i w:val="0"/>
          <w:sz w:val="26"/>
        </w:rPr>
        <w:t>src/lib/rateLimit.ts</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orchestration endpoint: </w:t>
      </w:r>
      <w:r>
        <w:rPr>
          <w:rFonts w:ascii="Times New Roman" w:hAnsi="Times New Roman" w:eastAsia="Times New Roman"/>
          <w:b w:val="0"/>
          <w:i w:val="0"/>
          <w:sz w:val="26"/>
        </w:rPr>
        <w:t>src/app/api/assistant/route.ts</w:t>
      </w:r>
      <w:r>
        <w:rPr>
          <w:rFonts w:ascii="Times New Roman" w:hAnsi="Times New Roman" w:eastAsia="Times New Roman"/>
          <w:b w:val="0"/>
          <w:i w:val="0"/>
          <w:sz w:val="26"/>
        </w:rPr>
        <w:t xml:space="preserve"> (planner, grounding tools, policy gating, provider fallback).</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tool execution proxy (human-in-loop): </w:t>
      </w:r>
      <w:r>
        <w:rPr>
          <w:rFonts w:ascii="Times New Roman" w:hAnsi="Times New Roman" w:eastAsia="Times New Roman"/>
          <w:b w:val="0"/>
          <w:i w:val="0"/>
          <w:sz w:val="26"/>
        </w:rPr>
        <w:t>src/app/api/assistant/execute/route.ts</w:t>
      </w:r>
      <w:r>
        <w:rPr>
          <w:rFonts w:ascii="Times New Roman" w:hAnsi="Times New Roman" w:eastAsia="Times New Roman"/>
          <w:b w:val="0"/>
          <w:i w:val="0"/>
          <w:sz w:val="26"/>
        </w:rPr>
        <w:t xml:space="preserve"> and </w:t>
      </w:r>
      <w:r>
        <w:rPr>
          <w:rFonts w:ascii="Times New Roman" w:hAnsi="Times New Roman" w:eastAsia="Times New Roman"/>
          <w:b w:val="0"/>
          <w:i w:val="0"/>
          <w:sz w:val="26"/>
        </w:rPr>
        <w:t>src/lib/assistant/executeTools.ts</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core modules: </w:t>
      </w:r>
      <w:r>
        <w:rPr>
          <w:rFonts w:ascii="Times New Roman" w:hAnsi="Times New Roman" w:eastAsia="Times New Roman"/>
          <w:b w:val="0"/>
          <w:i w:val="0"/>
          <w:sz w:val="26"/>
        </w:rPr>
        <w:t>src/lib/assistant/planner.ts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src/lib/assistant/tools.ts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src/lib/assistant/policy.ts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src/lib/assistant/providers.ts</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Evaluation and regression scripts:</w:t>
      </w:r>
    </w:p>
    <w:p>
      <w:pPr>
        <w:spacing w:after="60" w:before="0" w:line="360" w:lineRule="auto"/>
        <w:ind w:left="1077"/>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Data preparation: </w:t>
      </w:r>
      <w:r>
        <w:rPr>
          <w:rFonts w:ascii="Times New Roman" w:hAnsi="Times New Roman" w:eastAsia="Times New Roman"/>
          <w:b w:val="0"/>
          <w:i w:val="0"/>
          <w:sz w:val="26"/>
        </w:rPr>
        <w:t>scripts/prepare_data_2018_2025.mjs</w:t>
      </w:r>
    </w:p>
    <w:p>
      <w:pPr>
        <w:spacing w:after="60" w:before="0" w:line="360" w:lineRule="auto"/>
        <w:ind w:left="1077"/>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Smoke and QA: </w:t>
      </w:r>
      <w:r>
        <w:rPr>
          <w:rFonts w:ascii="Times New Roman" w:hAnsi="Times New Roman" w:eastAsia="Times New Roman"/>
          <w:b w:val="0"/>
          <w:i w:val="0"/>
          <w:sz w:val="26"/>
        </w:rPr>
        <w:t>scripts/smoke.mjs</w:t>
      </w:r>
      <w:r>
        <w:rPr>
          <w:rFonts w:ascii="Times New Roman" w:hAnsi="Times New Roman" w:eastAsia="Times New Roman"/>
          <w:b w:val="0"/>
          <w:i w:val="0"/>
          <w:sz w:val="26"/>
        </w:rPr>
        <w:t xml:space="preserve">, </w:t>
      </w:r>
      <w:r>
        <w:rPr>
          <w:rFonts w:ascii="Times New Roman" w:hAnsi="Times New Roman" w:eastAsia="Times New Roman"/>
          <w:b w:val="0"/>
          <w:i w:val="0"/>
          <w:sz w:val="26"/>
        </w:rPr>
        <w:t>scripts/qa.mjs</w:t>
      </w:r>
    </w:p>
    <w:p>
      <w:pPr>
        <w:spacing w:after="60" w:before="0" w:line="360" w:lineRule="auto"/>
        <w:ind w:left="1077"/>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evaluation suites: </w:t>
      </w:r>
      <w:r>
        <w:rPr>
          <w:rFonts w:ascii="Times New Roman" w:hAnsi="Times New Roman" w:eastAsia="Times New Roman"/>
          <w:b w:val="0"/>
          <w:i w:val="0"/>
          <w:sz w:val="26"/>
        </w:rPr>
        <w:t>scripts/eval-assistant*.mjs</w:t>
      </w:r>
    </w:p>
    <w:p>
      <w:pPr>
        <w:spacing w:before="240" w:after="120" w:line="360" w:lineRule="auto"/>
        <w:jc w:val="left"/>
      </w:pPr>
      <w:r>
        <w:rPr>
          <w:rFonts w:ascii="Times New Roman" w:hAnsi="Times New Roman" w:eastAsia="Times New Roman"/>
          <w:b/>
          <w:i w:val="0"/>
          <w:color w:val="000000"/>
          <w:sz w:val="28"/>
        </w:rPr>
        <w:t>4.3 Experimental Setup</w:t>
      </w:r>
    </w:p>
    <w:p>
      <w:pPr>
        <w:spacing w:after="120" w:before="0" w:line="360" w:lineRule="auto"/>
        <w:ind w:firstLine="720"/>
        <w:jc w:val="both"/>
      </w:pPr>
      <w:r>
        <w:rPr>
          <w:rFonts w:ascii="Times New Roman" w:hAnsi="Times New Roman" w:eastAsia="Times New Roman"/>
          <w:b w:val="0"/>
          <w:i w:val="0"/>
          <w:sz w:val="26"/>
        </w:rPr>
        <w:t>Experiments are designed to be reproducible under both local and Docker workflows.</w:t>
      </w:r>
    </w:p>
    <w:p>
      <w:pPr>
        <w:spacing w:after="120" w:before="0" w:line="360" w:lineRule="auto"/>
        <w:ind w:firstLine="720"/>
        <w:jc w:val="both"/>
      </w:pPr>
      <w:r>
        <w:rPr>
          <w:rFonts w:ascii="Times New Roman" w:hAnsi="Times New Roman" w:eastAsia="Times New Roman"/>
          <w:b w:val="0"/>
          <w:i w:val="0"/>
          <w:sz w:val="26"/>
        </w:rPr>
        <w:t xml:space="preserve">Evaluation criteria and acceptance gates (with rationale and citations) are defined in </w:t>
      </w:r>
      <w:r>
        <w:rPr>
          <w:rFonts w:ascii="Times New Roman" w:hAnsi="Times New Roman" w:eastAsia="Times New Roman"/>
          <w:b w:val="0"/>
          <w:i w:val="0"/>
          <w:sz w:val="26"/>
        </w:rPr>
        <w:t>docs/thesis/EVALUATION_GATES.md</w:t>
      </w:r>
      <w:r>
        <w:rPr>
          <w:rFonts w:ascii="Times New Roman" w:hAnsi="Times New Roman" w:eastAsia="Times New Roman"/>
          <w:b w:val="0"/>
          <w:i w:val="0"/>
          <w:sz w:val="26"/>
        </w:rPr>
        <w:t>.</w:t>
      </w:r>
    </w:p>
    <w:p>
      <w:pPr>
        <w:spacing w:after="120" w:before="240" w:line="360" w:lineRule="auto"/>
        <w:jc w:val="center"/>
      </w:pPr>
      <w:r>
        <w:drawing>
          <wp:inline xmlns:a="http://schemas.openxmlformats.org/drawingml/2006/main" xmlns:pic="http://schemas.openxmlformats.org/drawingml/2006/picture">
            <wp:extent cx="5040000" cy="14126715"/>
            <wp:docPr id="18" name="Picture 18"/>
            <wp:cNvGraphicFramePr>
              <a:graphicFrameLocks noChangeAspect="1"/>
            </wp:cNvGraphicFramePr>
            <a:graphic>
              <a:graphicData uri="http://schemas.openxmlformats.org/drawingml/2006/picture">
                <pic:pic>
                  <pic:nvPicPr>
                    <pic:cNvPr id="0" name="fig_4_2.png"/>
                    <pic:cNvPicPr/>
                  </pic:nvPicPr>
                  <pic:blipFill>
                    <a:blip r:embed="rId17"/>
                    <a:stretch>
                      <a:fillRect/>
                    </a:stretch>
                  </pic:blipFill>
                  <pic:spPr>
                    <a:xfrm>
                      <a:off x="0" y="0"/>
                      <a:ext cx="5040000" cy="14126715"/>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4.2: Evaluation pipeline (gates).</w:t>
      </w:r>
    </w:p>
    <w:p>
      <w:pPr>
        <w:spacing w:after="120" w:before="0" w:line="360" w:lineRule="auto"/>
        <w:ind w:firstLine="720"/>
        <w:jc w:val="both"/>
      </w:pPr>
      <w:r>
        <w:rPr>
          <w:rFonts w:ascii="Times New Roman" w:hAnsi="Times New Roman" w:eastAsia="Times New Roman"/>
          <w:b w:val="0"/>
          <w:i w:val="0"/>
          <w:sz w:val="26"/>
        </w:rPr>
        <w:t>Data preparation prerequisites: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Prepare runtime datasets: </w:t>
      </w:r>
      <w:r>
        <w:rPr>
          <w:rFonts w:ascii="Times New Roman" w:hAnsi="Times New Roman" w:eastAsia="Times New Roman"/>
          <w:b w:val="0"/>
          <w:i w:val="0"/>
          <w:sz w:val="26"/>
        </w:rPr>
        <w:t>pnpm run data:prepare:2018_2025</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Optional fundamentals validation: </w:t>
      </w:r>
      <w:r>
        <w:rPr>
          <w:rFonts w:ascii="Times New Roman" w:hAnsi="Times New Roman" w:eastAsia="Times New Roman"/>
          <w:b w:val="0"/>
          <w:i w:val="0"/>
          <w:sz w:val="26"/>
        </w:rPr>
        <w:t>pnpm run data:validate:fundamentals</w:t>
      </w:r>
    </w:p>
    <w:p>
      <w:pPr>
        <w:spacing w:after="120" w:before="0" w:line="360" w:lineRule="auto"/>
        <w:ind w:firstLine="720"/>
        <w:jc w:val="both"/>
      </w:pPr>
      <w:r>
        <w:rPr>
          <w:rFonts w:ascii="Times New Roman" w:hAnsi="Times New Roman" w:eastAsia="Times New Roman"/>
          <w:b w:val="0"/>
          <w:i w:val="0"/>
          <w:sz w:val="26"/>
        </w:rPr>
        <w:t>Build and static checks: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Lint: </w:t>
      </w:r>
      <w:r>
        <w:rPr>
          <w:rFonts w:ascii="Times New Roman" w:hAnsi="Times New Roman" w:eastAsia="Times New Roman"/>
          <w:b w:val="0"/>
          <w:i w:val="0"/>
          <w:sz w:val="26"/>
        </w:rPr>
        <w:t>pnpm run lint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Typecheck: </w:t>
      </w:r>
      <w:r>
        <w:rPr>
          <w:rFonts w:ascii="Times New Roman" w:hAnsi="Times New Roman" w:eastAsia="Times New Roman"/>
          <w:b w:val="0"/>
          <w:i w:val="0"/>
          <w:sz w:val="26"/>
        </w:rPr>
        <w:t>pnpm exec tsc --noEmit</w:t>
      </w:r>
    </w:p>
    <w:p>
      <w:pPr>
        <w:spacing w:after="120" w:before="0" w:line="360" w:lineRule="auto"/>
        <w:ind w:firstLine="720"/>
        <w:jc w:val="both"/>
      </w:pPr>
      <w:r>
        <w:rPr>
          <w:rFonts w:ascii="Times New Roman" w:hAnsi="Times New Roman" w:eastAsia="Times New Roman"/>
          <w:b w:val="0"/>
          <w:i w:val="0"/>
          <w:sz w:val="26"/>
        </w:rPr>
        <w:t>System-level checks: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Smoke checks: </w:t>
      </w:r>
      <w:r>
        <w:rPr>
          <w:rFonts w:ascii="Times New Roman" w:hAnsi="Times New Roman" w:eastAsia="Times New Roman"/>
          <w:b w:val="0"/>
          <w:i w:val="0"/>
          <w:sz w:val="26"/>
        </w:rPr>
        <w:t>pnpm run docker:smoke</w:t>
      </w:r>
      <w:r>
        <w:rPr>
          <w:rFonts w:ascii="Times New Roman" w:hAnsi="Times New Roman" w:eastAsia="Times New Roman"/>
          <w:b w:val="0"/>
          <w:i w:val="0"/>
          <w:sz w:val="26"/>
        </w:rPr>
        <w:t xml:space="preserve"> (or local </w:t>
      </w:r>
      <w:r>
        <w:rPr>
          <w:rFonts w:ascii="Times New Roman" w:hAnsi="Times New Roman" w:eastAsia="Times New Roman"/>
          <w:b w:val="0"/>
          <w:i w:val="0"/>
          <w:sz w:val="26"/>
        </w:rPr>
        <w:t>node scripts/smoke.mjs</w:t>
      </w:r>
      <w:r>
        <w:rPr>
          <w:rFonts w:ascii="Times New Roman" w:hAnsi="Times New Roman" w:eastAsia="Times New Roman"/>
          <w:b w:val="0"/>
          <w:i w:val="0"/>
          <w:sz w:val="26"/>
        </w:rPr>
        <w:t xml:space="preserve"> if the app is already running)</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QA checks: </w:t>
      </w:r>
      <w:r>
        <w:rPr>
          <w:rFonts w:ascii="Times New Roman" w:hAnsi="Times New Roman" w:eastAsia="Times New Roman"/>
          <w:b w:val="0"/>
          <w:i w:val="0"/>
          <w:sz w:val="26"/>
        </w:rPr>
        <w:t>pnpm run docker:qa</w:t>
      </w:r>
    </w:p>
    <w:p>
      <w:pPr>
        <w:spacing w:after="120" w:before="0" w:line="360" w:lineRule="auto"/>
        <w:ind w:firstLine="720"/>
        <w:jc w:val="both"/>
      </w:pPr>
      <w:r>
        <w:rPr>
          <w:rFonts w:ascii="Times New Roman" w:hAnsi="Times New Roman" w:eastAsia="Times New Roman"/>
          <w:b w:val="0"/>
          <w:i w:val="0"/>
          <w:sz w:val="26"/>
        </w:rPr>
        <w:t>Assistant evaluation: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Core eval: </w:t>
      </w:r>
      <w:r>
        <w:rPr>
          <w:rFonts w:ascii="Times New Roman" w:hAnsi="Times New Roman" w:eastAsia="Times New Roman"/>
          <w:b w:val="0"/>
          <w:i w:val="0"/>
          <w:sz w:val="26"/>
        </w:rPr>
        <w:t>pnpm run eval:assistant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Comprehensive suite: </w:t>
      </w:r>
      <w:r>
        <w:rPr>
          <w:rFonts w:ascii="Times New Roman" w:hAnsi="Times New Roman" w:eastAsia="Times New Roman"/>
          <w:b w:val="0"/>
          <w:i w:val="0"/>
          <w:sz w:val="26"/>
        </w:rPr>
        <w:t>pnpm run eval:assistant:full</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Stability-gated suites: </w:t>
      </w:r>
      <w:r>
        <w:rPr>
          <w:rFonts w:ascii="Times New Roman" w:hAnsi="Times New Roman" w:eastAsia="Times New Roman"/>
          <w:b w:val="0"/>
          <w:i w:val="0"/>
          <w:sz w:val="26"/>
        </w:rPr>
        <w:t>pnpm run eval:assistant:stable:all</w:t>
      </w:r>
      <w:r>
        <w:rPr>
          <w:rFonts w:ascii="Times New Roman" w:hAnsi="Times New Roman" w:eastAsia="Times New Roman"/>
          <w:b w:val="0"/>
          <w:i w:val="0"/>
          <w:sz w:val="26"/>
        </w:rPr>
        <w:t xml:space="preserve"> (or per-suite stable gates)</w:t>
      </w:r>
    </w:p>
    <w:p>
      <w:pPr>
        <w:spacing w:after="120" w:before="0" w:line="360" w:lineRule="auto"/>
        <w:ind w:firstLine="720"/>
        <w:jc w:val="both"/>
      </w:pPr>
      <w:r>
        <w:rPr>
          <w:rFonts w:ascii="Times New Roman" w:hAnsi="Times New Roman" w:eastAsia="Times New Roman"/>
          <w:b w:val="0"/>
          <w:i w:val="0"/>
          <w:sz w:val="26"/>
        </w:rPr>
        <w:t xml:space="preserve">Expected report artifacts are written under </w:t>
      </w:r>
      <w:r>
        <w:rPr>
          <w:rFonts w:ascii="Times New Roman" w:hAnsi="Times New Roman" w:eastAsia="Times New Roman"/>
          <w:b w:val="0"/>
          <w:i w:val="0"/>
          <w:sz w:val="26"/>
        </w:rPr>
        <w:t>artifacts/</w:t>
      </w:r>
      <w:r>
        <w:rPr>
          <w:rFonts w:ascii="Times New Roman" w:hAnsi="Times New Roman" w:eastAsia="Times New Roman"/>
          <w:b w:val="0"/>
          <w:i w:val="0"/>
          <w:sz w:val="26"/>
        </w:rPr>
        <w:t xml:space="preserve"> by the scripts (for example JSON reports plus markdown summaries).</w:t>
      </w:r>
    </w:p>
    <w:p>
      <w:pPr>
        <w:spacing w:before="240" w:after="120" w:line="360" w:lineRule="auto"/>
        <w:jc w:val="left"/>
      </w:pPr>
      <w:r>
        <w:rPr>
          <w:rFonts w:ascii="Times New Roman" w:hAnsi="Times New Roman" w:eastAsia="Times New Roman"/>
          <w:b/>
          <w:i w:val="0"/>
          <w:color w:val="000000"/>
          <w:sz w:val="28"/>
        </w:rPr>
        <w:t>4.4 Result Template (to be filled after full run)</w:t>
      </w:r>
    </w:p>
    <w:p>
      <w:pPr>
        <w:spacing w:after="120" w:before="0" w:line="360" w:lineRule="auto"/>
        <w:ind w:firstLine="720"/>
        <w:jc w:val="both"/>
      </w:pPr>
      <w:r>
        <w:rPr>
          <w:rFonts w:ascii="Times New Roman" w:hAnsi="Times New Roman" w:eastAsia="Times New Roman"/>
          <w:b w:val="0"/>
          <w:i w:val="0"/>
          <w:sz w:val="26"/>
        </w:rPr>
        <w:t>Use this table in the final thesis draft: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c>
          <w:tcPr>
            <w:tcW w:type="dxa" w:w="1814"/>
            <w:shd w:fill="D9E2F3" w:val="clear"/>
          </w:tcPr>
          <w:p>
            <w:pPr>
              <w:jc w:val="center"/>
            </w:pPr>
            <w:r/>
            <w:r>
              <w:rPr>
                <w:rFonts w:ascii="Times New Roman" w:hAnsi="Times New Roman" w:eastAsia="Times New Roman"/>
                <w:b/>
                <w:i w:val="0"/>
                <w:sz w:val="22"/>
              </w:rPr>
              <w:t>Metric</w:t>
            </w:r>
          </w:p>
        </w:tc>
        <w:tc>
          <w:tcPr>
            <w:tcW w:type="dxa" w:w="1814"/>
            <w:shd w:fill="D9E2F3" w:val="clear"/>
          </w:tcPr>
          <w:p>
            <w:pPr>
              <w:jc w:val="center"/>
            </w:pPr>
            <w:r/>
            <w:r>
              <w:rPr>
                <w:rFonts w:ascii="Times New Roman" w:hAnsi="Times New Roman" w:eastAsia="Times New Roman"/>
                <w:b/>
                <w:i w:val="0"/>
                <w:sz w:val="22"/>
              </w:rPr>
              <w:t>Baseline</w:t>
            </w:r>
          </w:p>
        </w:tc>
        <w:tc>
          <w:tcPr>
            <w:tcW w:type="dxa" w:w="1814"/>
            <w:shd w:fill="D9E2F3" w:val="clear"/>
          </w:tcPr>
          <w:p>
            <w:pPr>
              <w:jc w:val="center"/>
            </w:pPr>
            <w:r/>
            <w:r>
              <w:rPr>
                <w:rFonts w:ascii="Times New Roman" w:hAnsi="Times New Roman" w:eastAsia="Times New Roman"/>
                <w:b/>
                <w:i w:val="0"/>
                <w:sz w:val="22"/>
              </w:rPr>
              <w:t>Improved</w:t>
            </w:r>
          </w:p>
        </w:tc>
        <w:tc>
          <w:tcPr>
            <w:tcW w:type="dxa" w:w="1814"/>
            <w:shd w:fill="D9E2F3" w:val="clear"/>
          </w:tcPr>
          <w:p>
            <w:pPr>
              <w:jc w:val="center"/>
            </w:pPr>
            <w:r/>
            <w:r>
              <w:rPr>
                <w:rFonts w:ascii="Times New Roman" w:hAnsi="Times New Roman" w:eastAsia="Times New Roman"/>
                <w:b/>
                <w:i w:val="0"/>
                <w:sz w:val="22"/>
              </w:rPr>
              <w:t>Threshold</w:t>
            </w:r>
          </w:p>
        </w:tc>
        <w:tc>
          <w:tcPr>
            <w:tcW w:type="dxa" w:w="1814"/>
            <w:shd w:fill="D9E2F3" w:val="clear"/>
          </w:tcPr>
          <w:p>
            <w:pPr>
              <w:jc w:val="center"/>
            </w:pPr>
            <w:r/>
            <w:r>
              <w:rPr>
                <w:rFonts w:ascii="Times New Roman" w:hAnsi="Times New Roman" w:eastAsia="Times New Roman"/>
                <w:b/>
                <w:i w:val="0"/>
                <w:sz w:val="22"/>
              </w:rPr>
              <w:t>Pass/Fail</w:t>
            </w:r>
          </w:p>
        </w:tc>
      </w:tr>
      <w:tr>
        <w:tc>
          <w:tcPr>
            <w:tcW w:type="dxa" w:w="1814"/>
          </w:tcPr>
          <w:p>
            <w:pPr>
              <w:jc w:val="left"/>
            </w:pPr>
            <w:r/>
            <w:r>
              <w:rPr>
                <w:rFonts w:ascii="Times New Roman" w:hAnsi="Times New Roman" w:eastAsia="Times New Roman"/>
                <w:b w:val="0"/>
                <w:i w:val="0"/>
                <w:sz w:val="22"/>
              </w:rPr>
              <w:t>unsupportedClaimRate</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&lt;= 0.15</w:t>
            </w:r>
          </w:p>
        </w:tc>
        <w:tc>
          <w:tcPr>
            <w:tcW w:type="dxa" w:w="1814"/>
          </w:tcPr>
          <w:p>
            <w:pPr>
              <w:jc w:val="left"/>
            </w:pPr>
            <w:r/>
            <w:r>
              <w:rPr>
                <w:rFonts w:ascii="Times New Roman" w:hAnsi="Times New Roman" w:eastAsia="Times New Roman"/>
                <w:b w:val="0"/>
                <w:i w:val="0"/>
                <w:sz w:val="22"/>
              </w:rPr>
              <w:t>TBD</w:t>
            </w:r>
          </w:p>
        </w:tc>
      </w:tr>
      <w:tr>
        <w:tc>
          <w:tcPr>
            <w:tcW w:type="dxa" w:w="1814"/>
          </w:tcPr>
          <w:p>
            <w:pPr>
              <w:jc w:val="left"/>
            </w:pPr>
            <w:r/>
            <w:r>
              <w:rPr>
                <w:rFonts w:ascii="Times New Roman" w:hAnsi="Times New Roman" w:eastAsia="Times New Roman"/>
                <w:b w:val="0"/>
                <w:i w:val="0"/>
                <w:sz w:val="22"/>
              </w:rPr>
              <w:t>supportedClaimPrecision</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&gt;= 0.85</w:t>
            </w:r>
          </w:p>
        </w:tc>
        <w:tc>
          <w:tcPr>
            <w:tcW w:type="dxa" w:w="1814"/>
          </w:tcPr>
          <w:p>
            <w:pPr>
              <w:jc w:val="left"/>
            </w:pPr>
            <w:r/>
            <w:r>
              <w:rPr>
                <w:rFonts w:ascii="Times New Roman" w:hAnsi="Times New Roman" w:eastAsia="Times New Roman"/>
                <w:b w:val="0"/>
                <w:i w:val="0"/>
                <w:sz w:val="22"/>
              </w:rPr>
              <w:t>TBD</w:t>
            </w:r>
          </w:p>
        </w:tc>
      </w:tr>
      <w:tr>
        <w:tc>
          <w:tcPr>
            <w:tcW w:type="dxa" w:w="1814"/>
          </w:tcPr>
          <w:p>
            <w:pPr>
              <w:jc w:val="left"/>
            </w:pPr>
            <w:r/>
            <w:r>
              <w:rPr>
                <w:rFonts w:ascii="Times New Roman" w:hAnsi="Times New Roman" w:eastAsia="Times New Roman"/>
                <w:b w:val="0"/>
                <w:i w:val="0"/>
                <w:sz w:val="22"/>
              </w:rPr>
              <w:t>overallClaimAccuracy</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&gt;= 0.70</w:t>
            </w:r>
          </w:p>
        </w:tc>
        <w:tc>
          <w:tcPr>
            <w:tcW w:type="dxa" w:w="1814"/>
          </w:tcPr>
          <w:p>
            <w:pPr>
              <w:jc w:val="left"/>
            </w:pPr>
            <w:r/>
            <w:r>
              <w:rPr>
                <w:rFonts w:ascii="Times New Roman" w:hAnsi="Times New Roman" w:eastAsia="Times New Roman"/>
                <w:b w:val="0"/>
                <w:i w:val="0"/>
                <w:sz w:val="22"/>
              </w:rPr>
              <w:t>TBD</w:t>
            </w:r>
          </w:p>
        </w:tc>
      </w:tr>
      <w:tr>
        <w:tc>
          <w:tcPr>
            <w:tcW w:type="dxa" w:w="1814"/>
          </w:tcPr>
          <w:p>
            <w:pPr>
              <w:jc w:val="left"/>
            </w:pPr>
            <w:r/>
            <w:r>
              <w:rPr>
                <w:rFonts w:ascii="Times New Roman" w:hAnsi="Times New Roman" w:eastAsia="Times New Roman"/>
                <w:b w:val="0"/>
                <w:i w:val="0"/>
                <w:sz w:val="22"/>
              </w:rPr>
              <w:t>abstentionAccuracy</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&gt;= 0.85</w:t>
            </w:r>
          </w:p>
        </w:tc>
        <w:tc>
          <w:tcPr>
            <w:tcW w:type="dxa" w:w="1814"/>
          </w:tcPr>
          <w:p>
            <w:pPr>
              <w:jc w:val="left"/>
            </w:pPr>
            <w:r/>
            <w:r>
              <w:rPr>
                <w:rFonts w:ascii="Times New Roman" w:hAnsi="Times New Roman" w:eastAsia="Times New Roman"/>
                <w:b w:val="0"/>
                <w:i w:val="0"/>
                <w:sz w:val="22"/>
              </w:rPr>
              <w:t>TBD</w:t>
            </w:r>
          </w:p>
        </w:tc>
      </w:tr>
      <w:tr>
        <w:tc>
          <w:tcPr>
            <w:tcW w:type="dxa" w:w="1814"/>
          </w:tcPr>
          <w:p>
            <w:pPr>
              <w:jc w:val="left"/>
            </w:pPr>
            <w:r/>
            <w:r>
              <w:rPr>
                <w:rFonts w:ascii="Times New Roman" w:hAnsi="Times New Roman" w:eastAsia="Times New Roman"/>
                <w:b w:val="0"/>
                <w:i w:val="0"/>
                <w:sz w:val="22"/>
              </w:rPr>
              <w:t>groundingPassRate</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TBD</w:t>
            </w:r>
          </w:p>
        </w:tc>
        <w:tc>
          <w:tcPr>
            <w:tcW w:type="dxa" w:w="1814"/>
          </w:tcPr>
          <w:p>
            <w:pPr>
              <w:jc w:val="left"/>
            </w:pPr>
            <w:r/>
            <w:r>
              <w:rPr>
                <w:rFonts w:ascii="Times New Roman" w:hAnsi="Times New Roman" w:eastAsia="Times New Roman"/>
                <w:b w:val="0"/>
                <w:i w:val="0"/>
                <w:sz w:val="22"/>
              </w:rPr>
              <w:t>&gt;= 0.70</w:t>
            </w:r>
          </w:p>
        </w:tc>
        <w:tc>
          <w:tcPr>
            <w:tcW w:type="dxa" w:w="1814"/>
          </w:tcPr>
          <w:p>
            <w:pPr>
              <w:jc w:val="left"/>
            </w:pPr>
            <w:r/>
            <w:r>
              <w:rPr>
                <w:rFonts w:ascii="Times New Roman" w:hAnsi="Times New Roman" w:eastAsia="Times New Roman"/>
                <w:b w:val="0"/>
                <w:i w:val="0"/>
                <w:sz w:val="22"/>
              </w:rPr>
              <w:t>TBD</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 xml:space="preserve">In addition to the primary five-metric gate, report system diagnostics that explain </w:t>
      </w:r>
      <w:r>
        <w:rPr>
          <w:rFonts w:ascii="Times New Roman" w:hAnsi="Times New Roman" w:eastAsia="Times New Roman"/>
          <w:b w:val="0"/>
          <w:i/>
          <w:sz w:val="26"/>
        </w:rPr>
        <w:t>why</w:t>
      </w:r>
      <w:r>
        <w:rPr>
          <w:rFonts w:ascii="Times New Roman" w:hAnsi="Times New Roman" w:eastAsia="Times New Roman"/>
          <w:b w:val="0"/>
          <w:i w:val="0"/>
          <w:sz w:val="26"/>
        </w:rPr>
        <w:t xml:space="preserve"> a run passes or fails: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Tool failure rate by endpoint (timeouts, HTTP 4xx/5xx, missing base URL).</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Citation coverage and numeric evidence counts in grounded responses.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Distribution of fallback reasons (missing symbol grounding, insufficient evidence, future date requests, ambiguous ticker prompts).</w:t>
      </w:r>
    </w:p>
    <w:p>
      <w:pPr>
        <w:spacing w:before="240" w:after="120" w:line="360" w:lineRule="auto"/>
        <w:jc w:val="left"/>
      </w:pPr>
      <w:r>
        <w:rPr>
          <w:rFonts w:ascii="Times New Roman" w:hAnsi="Times New Roman" w:eastAsia="Times New Roman"/>
          <w:b/>
          <w:i w:val="0"/>
          <w:color w:val="000000"/>
          <w:sz w:val="28"/>
        </w:rPr>
        <w:t>4.5 Error Analysis Template</w:t>
      </w:r>
    </w:p>
    <w:p>
      <w:pPr>
        <w:spacing w:after="120" w:before="0" w:line="360" w:lineRule="auto"/>
        <w:ind w:firstLine="720"/>
        <w:jc w:val="both"/>
      </w:pPr>
      <w:r>
        <w:rPr>
          <w:rFonts w:ascii="Times New Roman" w:hAnsi="Times New Roman" w:eastAsia="Times New Roman"/>
          <w:b w:val="0"/>
          <w:i w:val="0"/>
          <w:sz w:val="26"/>
        </w:rPr>
        <w:t>Categorize failures by:</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tool transport failure (timeout/network),</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endpoint failure (HTTP 4xx/5xx),</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insufficient citation coverage,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policy fallback false-positive/false-negative.</w:t>
      </w:r>
    </w:p>
    <w:p>
      <w:pPr>
        <w:spacing w:after="120" w:before="0" w:line="360" w:lineRule="auto"/>
        <w:ind w:firstLine="720"/>
        <w:jc w:val="both"/>
      </w:pPr>
      <w:r>
        <w:rPr>
          <w:rFonts w:ascii="Times New Roman" w:hAnsi="Times New Roman" w:eastAsia="Times New Roman"/>
          <w:b w:val="0"/>
          <w:i w:val="0"/>
          <w:sz w:val="26"/>
        </w:rPr>
        <w:t>For each category, provide: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count and ratio,</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representative prompts,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root cause,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mitigation in next iteration.</w:t>
      </w:r>
    </w:p>
    <w:p>
      <w:pPr>
        <w:spacing w:before="240" w:after="120" w:line="360" w:lineRule="auto"/>
        <w:jc w:val="left"/>
      </w:pPr>
      <w:r>
        <w:rPr>
          <w:rFonts w:ascii="Times New Roman" w:hAnsi="Times New Roman" w:eastAsia="Times New Roman"/>
          <w:b/>
          <w:i w:val="0"/>
          <w:color w:val="000000"/>
          <w:sz w:val="28"/>
        </w:rPr>
        <w:t>4.6 Discussion</w:t>
      </w:r>
    </w:p>
    <w:p>
      <w:pPr>
        <w:spacing w:after="120" w:before="0" w:line="360" w:lineRule="auto"/>
        <w:ind w:firstLine="720"/>
        <w:jc w:val="both"/>
      </w:pPr>
      <w:r>
        <w:rPr>
          <w:rFonts w:ascii="Times New Roman" w:hAnsi="Times New Roman" w:eastAsia="Times New Roman"/>
          <w:b w:val="0"/>
          <w:i w:val="0"/>
          <w:sz w:val="26"/>
        </w:rPr>
        <w:t>The discussion should connect measured outcomes to engineering decisions: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Policy strictness vs coverage: quantify how stricter evidence gating changes answer coverage and user experience.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Data quality vs universe size: explain how validation and timeline overlap rules improve numeric correctness while potentially excluding symbols.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Operational readiness: summarize what the smoke/QA pipelines catch reliably and which failures still require manual investigation.</w:t>
      </w:r>
    </w:p>
    <w:p>
      <w:pPr>
        <w:spacing w:before="240" w:after="120" w:line="360" w:lineRule="auto"/>
        <w:jc w:val="left"/>
      </w:pPr>
      <w:r>
        <w:rPr>
          <w:rFonts w:ascii="Times New Roman" w:hAnsi="Times New Roman" w:eastAsia="Times New Roman"/>
          <w:b/>
          <w:i w:val="0"/>
          <w:color w:val="000000"/>
          <w:sz w:val="28"/>
        </w:rPr>
        <w:t>4.7 Chapter Summary</w:t>
      </w:r>
    </w:p>
    <w:p>
      <w:pPr>
        <w:spacing w:after="120" w:before="0" w:line="360" w:lineRule="auto"/>
        <w:ind w:firstLine="720"/>
        <w:jc w:val="both"/>
      </w:pPr>
      <w:r>
        <w:rPr>
          <w:rFonts w:ascii="Times New Roman" w:hAnsi="Times New Roman" w:eastAsia="Times New Roman"/>
          <w:b w:val="0"/>
          <w:i w:val="0"/>
          <w:sz w:val="26"/>
        </w:rPr>
        <w:t>This chapter documents implementation and measured impact. Chapter 5 consolidates conclusions, limitations, and future work.</w:t>
      </w:r>
    </w:p>
    <w:p>
      <w:pPr>
        <w:spacing w:before="240" w:after="120" w:line="360" w:lineRule="auto"/>
        <w:jc w:val="left"/>
      </w:pPr>
      <w:r>
        <w:rPr>
          <w:rFonts w:ascii="Times New Roman" w:hAnsi="Times New Roman" w:eastAsia="Times New Roman"/>
          <w:b/>
          <w:i w:val="0"/>
          <w:color w:val="000000"/>
          <w:sz w:val="28"/>
        </w:rPr>
        <w:t>4.8 UI Evidence (Product Walkthrough Figures)</w:t>
      </w:r>
    </w:p>
    <w:p>
      <w:pPr>
        <w:spacing w:after="120" w:before="0" w:line="360" w:lineRule="auto"/>
        <w:ind w:firstLine="720"/>
        <w:jc w:val="both"/>
      </w:pPr>
      <w:r>
        <w:rPr>
          <w:rFonts w:ascii="Times New Roman" w:hAnsi="Times New Roman" w:eastAsia="Times New Roman"/>
          <w:b w:val="0"/>
          <w:i w:val="0"/>
          <w:sz w:val="26"/>
        </w:rPr>
        <w:t>In the final thesis submission, selected user-interface (UI) screenshots can serve as pragmatic evidence that the proposed workflows are implemented end-to-end and that the system surfaces assumptions and diagnostics to users (rather than only internally). These figures are not intended to be aesthetic; they are intended to document how a fintech user would interact with the platform to (i) define a quantitative question, (ii) run an analysis under explicit assumptions, and (iii) interpret the output in the presence of data constraints.</w:t>
      </w:r>
    </w:p>
    <w:p>
      <w:pPr>
        <w:spacing w:after="120" w:before="0" w:line="360" w:lineRule="auto"/>
        <w:ind w:firstLine="720"/>
        <w:jc w:val="both"/>
      </w:pPr>
      <w:r>
        <w:rPr>
          <w:rFonts w:ascii="Times New Roman" w:hAnsi="Times New Roman" w:eastAsia="Times New Roman"/>
          <w:b w:val="0"/>
          <w:i w:val="0"/>
          <w:sz w:val="26"/>
        </w:rPr>
        <w:t>The recommended UI figures below are aligned with the thesis "conditional evidence" stance from Chapters 2 and 3. They should be captured from the running system using a consistent resolution and cropping convention, and they should avoid sensitive data (e.g., access tokens) or irrelevant browser chrome.</w:t>
      </w:r>
    </w:p>
    <w:p>
      <w:pPr>
        <w:spacing w:after="120" w:before="0" w:line="360" w:lineRule="auto"/>
        <w:ind w:firstLine="720"/>
        <w:jc w:val="both"/>
      </w:pPr>
      <w:r>
        <w:rPr>
          <w:rFonts w:ascii="Times New Roman" w:hAnsi="Times New Roman" w:eastAsia="Times New Roman"/>
          <w:b w:val="0"/>
          <w:i w:val="0"/>
          <w:sz w:val="26"/>
        </w:rPr>
        <w:t>Table 4.1: Recommended UI figures for the final thesis (capture plan).</w:t>
      </w:r>
    </w:p>
    <w:p>
      <w:pPr>
        <w:spacing w:after="120" w:before="240" w:line="360" w:lineRule="auto"/>
        <w:jc w:val="center"/>
      </w:pPr>
      <w:r>
        <w:rPr>
          <w:rFonts w:ascii="Times New Roman" w:hAnsi="Times New Roman" w:eastAsia="Times New Roman"/>
          <w:b/>
          <w:i w:val="0"/>
          <w:sz w:val="24"/>
        </w:rPr>
        <w:t>Table 4.1: Recommended UI figures for the final thesis (capture plan).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c>
          <w:tcPr>
            <w:tcW w:type="dxa" w:w="2268"/>
            <w:shd w:fill="D9E2F3" w:val="clear"/>
          </w:tcPr>
          <w:p>
            <w:pPr>
              <w:jc w:val="center"/>
            </w:pPr>
            <w:r/>
            <w:r>
              <w:rPr>
                <w:rFonts w:ascii="Times New Roman" w:hAnsi="Times New Roman" w:eastAsia="Times New Roman"/>
                <w:b/>
                <w:i w:val="0"/>
                <w:sz w:val="22"/>
              </w:rPr>
              <w:t>Proposed figure</w:t>
            </w:r>
          </w:p>
        </w:tc>
        <w:tc>
          <w:tcPr>
            <w:tcW w:type="dxa" w:w="2268"/>
            <w:shd w:fill="D9E2F3" w:val="clear"/>
          </w:tcPr>
          <w:p>
            <w:pPr>
              <w:jc w:val="center"/>
            </w:pPr>
            <w:r/>
            <w:r>
              <w:rPr>
                <w:rFonts w:ascii="Times New Roman" w:hAnsi="Times New Roman" w:eastAsia="Times New Roman"/>
                <w:b/>
                <w:i w:val="0"/>
                <w:sz w:val="22"/>
              </w:rPr>
              <w:t>Target workflow screen</w:t>
            </w:r>
          </w:p>
        </w:tc>
        <w:tc>
          <w:tcPr>
            <w:tcW w:type="dxa" w:w="2268"/>
            <w:shd w:fill="D9E2F3" w:val="clear"/>
          </w:tcPr>
          <w:p>
            <w:pPr>
              <w:jc w:val="center"/>
            </w:pPr>
            <w:r/>
            <w:r>
              <w:rPr>
                <w:rFonts w:ascii="Times New Roman" w:hAnsi="Times New Roman" w:eastAsia="Times New Roman"/>
                <w:b/>
                <w:i w:val="0"/>
                <w:sz w:val="22"/>
              </w:rPr>
              <w:t>What the figure should demonstrate</w:t>
            </w:r>
          </w:p>
        </w:tc>
        <w:tc>
          <w:tcPr>
            <w:tcW w:type="dxa" w:w="2268"/>
            <w:shd w:fill="D9E2F3" w:val="clear"/>
          </w:tcPr>
          <w:p>
            <w:pPr>
              <w:jc w:val="center"/>
            </w:pPr>
            <w:r/>
            <w:r>
              <w:rPr>
                <w:rFonts w:ascii="Times New Roman" w:hAnsi="Times New Roman" w:eastAsia="Times New Roman"/>
                <w:b/>
                <w:i w:val="0"/>
                <w:sz w:val="22"/>
              </w:rPr>
              <w:t>Link to thesis claims</w:t>
            </w:r>
          </w:p>
        </w:tc>
      </w:tr>
      <w:tr>
        <w:tc>
          <w:tcPr>
            <w:tcW w:type="dxa" w:w="2268"/>
          </w:tcPr>
          <w:p>
            <w:pPr>
              <w:jc w:val="left"/>
            </w:pPr>
            <w:r/>
            <w:r>
              <w:rPr>
                <w:rFonts w:ascii="Times New Roman" w:hAnsi="Times New Roman" w:eastAsia="Times New Roman"/>
                <w:b w:val="0"/>
                <w:i w:val="0"/>
                <w:sz w:val="22"/>
              </w:rPr>
              <w:t>Figure 4.3</w:t>
            </w:r>
          </w:p>
        </w:tc>
        <w:tc>
          <w:tcPr>
            <w:tcW w:type="dxa" w:w="2268"/>
          </w:tcPr>
          <w:p>
            <w:pPr>
              <w:jc w:val="left"/>
            </w:pPr>
            <w:r/>
            <w:r>
              <w:rPr>
                <w:rFonts w:ascii="Times New Roman" w:hAnsi="Times New Roman" w:eastAsia="Times New Roman"/>
                <w:b w:val="0"/>
                <w:i w:val="0"/>
                <w:sz w:val="22"/>
              </w:rPr>
              <w:t>Home/landing module overview</w:t>
            </w:r>
          </w:p>
        </w:tc>
        <w:tc>
          <w:tcPr>
            <w:tcW w:type="dxa" w:w="2268"/>
          </w:tcPr>
          <w:p>
            <w:pPr>
              <w:jc w:val="left"/>
            </w:pPr>
            <w:r/>
            <w:r>
              <w:rPr>
                <w:rFonts w:ascii="Times New Roman" w:hAnsi="Times New Roman" w:eastAsia="Times New Roman"/>
                <w:b w:val="0"/>
                <w:i w:val="0"/>
                <w:sz w:val="22"/>
              </w:rPr>
              <w:t>The platform scope and module entry points (screening, backtesting, risk, factors, portfolio, strategy construction)</w:t>
            </w:r>
          </w:p>
        </w:tc>
        <w:tc>
          <w:tcPr>
            <w:tcW w:type="dxa" w:w="2268"/>
          </w:tcPr>
          <w:p>
            <w:pPr>
              <w:jc w:val="left"/>
            </w:pPr>
            <w:r/>
            <w:r>
              <w:rPr>
                <w:rFonts w:ascii="Times New Roman" w:hAnsi="Times New Roman" w:eastAsia="Times New Roman"/>
                <w:b w:val="0"/>
                <w:i w:val="0"/>
                <w:sz w:val="22"/>
              </w:rPr>
              <w:t>Establishes product context; supports RQ framing in Chapter 1</w:t>
            </w:r>
          </w:p>
        </w:tc>
      </w:tr>
      <w:tr>
        <w:tc>
          <w:tcPr>
            <w:tcW w:type="dxa" w:w="2268"/>
          </w:tcPr>
          <w:p>
            <w:pPr>
              <w:jc w:val="left"/>
            </w:pPr>
            <w:r/>
            <w:r>
              <w:rPr>
                <w:rFonts w:ascii="Times New Roman" w:hAnsi="Times New Roman" w:eastAsia="Times New Roman"/>
                <w:b w:val="0"/>
                <w:i w:val="0"/>
                <w:sz w:val="22"/>
              </w:rPr>
              <w:t>Figure 4.4</w:t>
            </w:r>
          </w:p>
        </w:tc>
        <w:tc>
          <w:tcPr>
            <w:tcW w:type="dxa" w:w="2268"/>
          </w:tcPr>
          <w:p>
            <w:pPr>
              <w:jc w:val="left"/>
            </w:pPr>
            <w:r/>
            <w:r>
              <w:rPr>
                <w:rFonts w:ascii="Times New Roman" w:hAnsi="Times New Roman" w:eastAsia="Times New Roman"/>
                <w:b w:val="0"/>
                <w:i w:val="0"/>
                <w:sz w:val="22"/>
              </w:rPr>
              <w:t>Strategy Builder (drag-and-drop canvas)</w:t>
            </w:r>
          </w:p>
        </w:tc>
        <w:tc>
          <w:tcPr>
            <w:tcW w:type="dxa" w:w="2268"/>
          </w:tcPr>
          <w:p>
            <w:pPr>
              <w:jc w:val="left"/>
            </w:pPr>
            <w:r/>
            <w:r>
              <w:rPr>
                <w:rFonts w:ascii="Times New Roman" w:hAnsi="Times New Roman" w:eastAsia="Times New Roman"/>
                <w:b w:val="0"/>
                <w:i w:val="0"/>
                <w:sz w:val="22"/>
              </w:rPr>
              <w:t>Strategies as explicit, testable specifications rather than informal narratives</w:t>
            </w:r>
          </w:p>
        </w:tc>
        <w:tc>
          <w:tcPr>
            <w:tcW w:type="dxa" w:w="2268"/>
          </w:tcPr>
          <w:p>
            <w:pPr>
              <w:jc w:val="left"/>
            </w:pPr>
            <w:r/>
            <w:r>
              <w:rPr>
                <w:rFonts w:ascii="Times New Roman" w:hAnsi="Times New Roman" w:eastAsia="Times New Roman"/>
                <w:b w:val="0"/>
                <w:i w:val="0"/>
                <w:sz w:val="22"/>
              </w:rPr>
              <w:t>Supports the "strategy specification" requirement from Chapter 2 and the orchestration loop in Chapter 3</w:t>
            </w:r>
          </w:p>
        </w:tc>
      </w:tr>
      <w:tr>
        <w:tc>
          <w:tcPr>
            <w:tcW w:type="dxa" w:w="2268"/>
          </w:tcPr>
          <w:p>
            <w:pPr>
              <w:jc w:val="left"/>
            </w:pPr>
            <w:r/>
            <w:r>
              <w:rPr>
                <w:rFonts w:ascii="Times New Roman" w:hAnsi="Times New Roman" w:eastAsia="Times New Roman"/>
                <w:b w:val="0"/>
                <w:i w:val="0"/>
                <w:sz w:val="22"/>
              </w:rPr>
              <w:t>Figure 4.5</w:t>
            </w:r>
          </w:p>
        </w:tc>
        <w:tc>
          <w:tcPr>
            <w:tcW w:type="dxa" w:w="2268"/>
          </w:tcPr>
          <w:p>
            <w:pPr>
              <w:jc w:val="left"/>
            </w:pPr>
            <w:r/>
            <w:r>
              <w:rPr>
                <w:rFonts w:ascii="Times New Roman" w:hAnsi="Times New Roman" w:eastAsia="Times New Roman"/>
                <w:b w:val="0"/>
                <w:i w:val="0"/>
                <w:sz w:val="22"/>
              </w:rPr>
              <w:t>Backtesting workspace (results + diagnostics)</w:t>
            </w:r>
          </w:p>
        </w:tc>
        <w:tc>
          <w:tcPr>
            <w:tcW w:type="dxa" w:w="2268"/>
          </w:tcPr>
          <w:p>
            <w:pPr>
              <w:jc w:val="left"/>
            </w:pPr>
            <w:r/>
            <w:r>
              <w:rPr>
                <w:rFonts w:ascii="Times New Roman" w:hAnsi="Times New Roman" w:eastAsia="Times New Roman"/>
                <w:b w:val="0"/>
                <w:i w:val="0"/>
                <w:sz w:val="22"/>
              </w:rPr>
              <w:t>Backtests as conditional evidence with explicit assumptions and diagnostics (coverage/gaps/exclusions)</w:t>
            </w:r>
          </w:p>
        </w:tc>
        <w:tc>
          <w:tcPr>
            <w:tcW w:type="dxa" w:w="2268"/>
          </w:tcPr>
          <w:p>
            <w:pPr>
              <w:jc w:val="left"/>
            </w:pPr>
            <w:r/>
            <w:r>
              <w:rPr>
                <w:rFonts w:ascii="Times New Roman" w:hAnsi="Times New Roman" w:eastAsia="Times New Roman"/>
                <w:b w:val="0"/>
                <w:i w:val="0"/>
                <w:sz w:val="22"/>
              </w:rPr>
              <w:t>Supports H1/H2 and the backtesting methodology in Chapter 3</w:t>
            </w:r>
          </w:p>
        </w:tc>
      </w:tr>
      <w:tr>
        <w:tc>
          <w:tcPr>
            <w:tcW w:type="dxa" w:w="2268"/>
          </w:tcPr>
          <w:p>
            <w:pPr>
              <w:jc w:val="left"/>
            </w:pPr>
            <w:r/>
            <w:r>
              <w:rPr>
                <w:rFonts w:ascii="Times New Roman" w:hAnsi="Times New Roman" w:eastAsia="Times New Roman"/>
                <w:b w:val="0"/>
                <w:i w:val="0"/>
                <w:sz w:val="22"/>
              </w:rPr>
              <w:t>Figure 4.6</w:t>
            </w:r>
          </w:p>
        </w:tc>
        <w:tc>
          <w:tcPr>
            <w:tcW w:type="dxa" w:w="2268"/>
          </w:tcPr>
          <w:p>
            <w:pPr>
              <w:jc w:val="left"/>
            </w:pPr>
            <w:r/>
            <w:r>
              <w:rPr>
                <w:rFonts w:ascii="Times New Roman" w:hAnsi="Times New Roman" w:eastAsia="Times New Roman"/>
                <w:b w:val="0"/>
                <w:i w:val="0"/>
                <w:sz w:val="22"/>
              </w:rPr>
              <w:t>Strategy Lab run result and comparison view</w:t>
            </w:r>
          </w:p>
        </w:tc>
        <w:tc>
          <w:tcPr>
            <w:tcW w:type="dxa" w:w="2268"/>
          </w:tcPr>
          <w:p>
            <w:pPr>
              <w:jc w:val="left"/>
            </w:pPr>
            <w:r/>
            <w:r>
              <w:rPr>
                <w:rFonts w:ascii="Times New Roman" w:hAnsi="Times New Roman" w:eastAsia="Times New Roman"/>
                <w:b w:val="0"/>
                <w:i w:val="0"/>
                <w:sz w:val="22"/>
              </w:rPr>
              <w:t>Iteration loop: propose -&gt; run -&gt; diagnose -&gt; compare -&gt; revise, with observable run outcomes</w:t>
            </w:r>
          </w:p>
        </w:tc>
        <w:tc>
          <w:tcPr>
            <w:tcW w:type="dxa" w:w="2268"/>
          </w:tcPr>
          <w:p>
            <w:pPr>
              <w:jc w:val="left"/>
            </w:pPr>
            <w:r/>
            <w:r>
              <w:rPr>
                <w:rFonts w:ascii="Times New Roman" w:hAnsi="Times New Roman" w:eastAsia="Times New Roman"/>
                <w:b w:val="0"/>
                <w:i w:val="0"/>
                <w:sz w:val="22"/>
              </w:rPr>
              <w:t>Supports the experimental lifecycle in Figure 3.7 and RQ5 traceability</w:t>
            </w:r>
          </w:p>
        </w:tc>
      </w:tr>
      <w:tr>
        <w:tc>
          <w:tcPr>
            <w:tcW w:type="dxa" w:w="2268"/>
          </w:tcPr>
          <w:p>
            <w:pPr>
              <w:jc w:val="left"/>
            </w:pPr>
            <w:r/>
            <w:r>
              <w:rPr>
                <w:rFonts w:ascii="Times New Roman" w:hAnsi="Times New Roman" w:eastAsia="Times New Roman"/>
                <w:b w:val="0"/>
                <w:i w:val="0"/>
                <w:sz w:val="22"/>
              </w:rPr>
              <w:t>Figure 4.7 (optional)</w:t>
            </w:r>
          </w:p>
        </w:tc>
        <w:tc>
          <w:tcPr>
            <w:tcW w:type="dxa" w:w="2268"/>
          </w:tcPr>
          <w:p>
            <w:pPr>
              <w:jc w:val="left"/>
            </w:pPr>
            <w:r/>
            <w:r>
              <w:rPr>
                <w:rFonts w:ascii="Times New Roman" w:hAnsi="Times New Roman" w:eastAsia="Times New Roman"/>
                <w:b w:val="0"/>
                <w:i w:val="0"/>
                <w:sz w:val="22"/>
              </w:rPr>
              <w:t>Assistant panel response with citations/abstention</w:t>
            </w:r>
          </w:p>
        </w:tc>
        <w:tc>
          <w:tcPr>
            <w:tcW w:type="dxa" w:w="2268"/>
          </w:tcPr>
          <w:p>
            <w:pPr>
              <w:jc w:val="left"/>
            </w:pPr>
            <w:r/>
            <w:r>
              <w:rPr>
                <w:rFonts w:ascii="Times New Roman" w:hAnsi="Times New Roman" w:eastAsia="Times New Roman"/>
                <w:b w:val="0"/>
                <w:i w:val="0"/>
                <w:sz w:val="22"/>
              </w:rPr>
              <w:t>Evidence-grounded numeric narration and conservative abstention when evidence is missing</w:t>
            </w:r>
          </w:p>
        </w:tc>
        <w:tc>
          <w:tcPr>
            <w:tcW w:type="dxa" w:w="2268"/>
          </w:tcPr>
          <w:p>
            <w:pPr>
              <w:jc w:val="left"/>
            </w:pPr>
            <w:r/>
            <w:r>
              <w:rPr>
                <w:rFonts w:ascii="Times New Roman" w:hAnsi="Times New Roman" w:eastAsia="Times New Roman"/>
                <w:b w:val="0"/>
                <w:i w:val="0"/>
                <w:sz w:val="22"/>
              </w:rPr>
              <w:t>Supports H3/H4 and assistant methodology in Chapter 3</w:t>
            </w:r>
          </w:p>
        </w:tc>
      </w:tr>
    </w:tbl>
    <w:p>
      <w:pPr>
        <w:spacing w:after="120" w:before="0" w:line="360" w:lineRule="auto"/>
      </w:pPr>
    </w:p>
    <w:p>
      <w:pPr>
        <w:spacing w:after="120" w:before="0" w:line="360" w:lineRule="auto"/>
        <w:ind w:firstLine="720"/>
        <w:jc w:val="both"/>
      </w:pPr>
      <w:r>
        <w:rPr>
          <w:rFonts w:ascii="Times New Roman" w:hAnsi="Times New Roman" w:eastAsia="Times New Roman"/>
          <w:b w:val="0"/>
          <w:i w:val="0"/>
          <w:sz w:val="26"/>
        </w:rPr>
        <w:t>Caption guidance: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Each UI figure caption should state (i) the user objective, (ii) the key assumption/diagnostic being surfaced, and (iii) why this matters for reliability.</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When a UI figure includes a numeric output, prefer highlighting the corresponding assumptions/diagnostics panel so the reader does not interpret the number as unconditional.</w:t>
      </w:r>
    </w:p>
    <w:p>
      <w:pPr>
        <w:spacing w:after="120" w:before="0" w:line="360" w:lineRule="auto"/>
        <w:ind w:firstLine="720"/>
        <w:jc w:val="both"/>
      </w:pPr>
      <w:r>
        <w:rPr>
          <w:rFonts w:ascii="Times New Roman" w:hAnsi="Times New Roman" w:eastAsia="Times New Roman"/>
          <w:b w:val="0"/>
          <w:i w:val="0"/>
          <w:sz w:val="26"/>
        </w:rPr>
        <w:t xml:space="preserve">File naming and storage guidance is provided in </w:t>
      </w:r>
      <w:r>
        <w:rPr>
          <w:rFonts w:ascii="Times New Roman" w:hAnsi="Times New Roman" w:eastAsia="Times New Roman"/>
          <w:b w:val="0"/>
          <w:i w:val="0"/>
          <w:sz w:val="26"/>
        </w:rPr>
        <w:t>docs/thesis/figures/ui/README.md</w:t>
      </w:r>
      <w:r>
        <w:rPr>
          <w:rFonts w:ascii="Times New Roman" w:hAnsi="Times New Roman" w:eastAsia="Times New Roman"/>
          <w:b w:val="0"/>
          <w:i w:val="0"/>
          <w:sz w:val="26"/>
        </w:rPr>
        <w:t>.</w:t>
      </w:r>
    </w:p>
    <w:p>
      <w:r>
        <w:br w:type="page"/>
      </w:r>
    </w:p>
    <w:p>
      <w:pPr>
        <w:spacing w:before="360" w:after="120" w:line="360" w:lineRule="auto"/>
        <w:jc w:val="left"/>
      </w:pPr>
      <w:r>
        <w:rPr>
          <w:rFonts w:ascii="Times New Roman" w:hAnsi="Times New Roman" w:eastAsia="Times New Roman"/>
          <w:b/>
          <w:i w:val="0"/>
          <w:color w:val="000000"/>
          <w:sz w:val="32"/>
        </w:rPr>
        <w:t>Chapter 5: Conclusion and Future Work</w:t>
      </w:r>
    </w:p>
    <w:p>
      <w:pPr>
        <w:spacing w:before="240" w:after="120" w:line="360" w:lineRule="auto"/>
        <w:jc w:val="left"/>
      </w:pPr>
      <w:r>
        <w:rPr>
          <w:rFonts w:ascii="Times New Roman" w:hAnsi="Times New Roman" w:eastAsia="Times New Roman"/>
          <w:b/>
          <w:i w:val="0"/>
          <w:color w:val="000000"/>
          <w:sz w:val="28"/>
        </w:rPr>
        <w:t>5.1 Conclusion</w:t>
      </w:r>
    </w:p>
    <w:p>
      <w:pPr>
        <w:spacing w:after="120" w:before="0" w:line="360" w:lineRule="auto"/>
        <w:ind w:firstLine="720"/>
        <w:jc w:val="both"/>
      </w:pPr>
      <w:r>
        <w:rPr>
          <w:rFonts w:ascii="Times New Roman" w:hAnsi="Times New Roman" w:eastAsia="Times New Roman"/>
          <w:b w:val="0"/>
          <w:i w:val="0"/>
          <w:sz w:val="26"/>
        </w:rPr>
        <w:t>This thesis frames a finance AI assistant as a reliability-critical system, not only a conversational interface. The implemented QuantVN architecture combines (1) validated local datasets, (2) deterministic quant computation services, and (3) a grounded assistant with policy gating and evaluation scripts. The core outcome is a practical definition of reliability: numeric answers are produced only when backed by internal evidence; otherwise the system abstains with clear diagnostics.</w:t>
      </w:r>
    </w:p>
    <w:p>
      <w:pPr>
        <w:spacing w:before="240" w:after="120" w:line="360" w:lineRule="auto"/>
        <w:jc w:val="left"/>
      </w:pPr>
      <w:r>
        <w:rPr>
          <w:rFonts w:ascii="Times New Roman" w:hAnsi="Times New Roman" w:eastAsia="Times New Roman"/>
          <w:b/>
          <w:i w:val="0"/>
          <w:color w:val="000000"/>
          <w:sz w:val="28"/>
        </w:rPr>
        <w:t>5.2 Answer to Research Questions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RQ1: Policy-gated grounding reduces unsupported numeric outputs by forcing evidence retrieval and blocking low-evidence completions.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RQ2: Strict robustness can reduce answer coverage, but it improves trustworthiness in finance contexts where numeric errors are costly.</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RQ3: A five-metric gate provides an operational definition of reliability that is measurable and regression-testable across releases.</w:t>
      </w:r>
    </w:p>
    <w:p>
      <w:pPr>
        <w:spacing w:before="240" w:after="120" w:line="360" w:lineRule="auto"/>
        <w:jc w:val="left"/>
      </w:pPr>
      <w:r>
        <w:rPr>
          <w:rFonts w:ascii="Times New Roman" w:hAnsi="Times New Roman" w:eastAsia="Times New Roman"/>
          <w:b/>
          <w:i w:val="0"/>
          <w:color w:val="000000"/>
          <w:sz w:val="28"/>
        </w:rPr>
        <w:t>5.3 Practical Contributions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 reproducible engineering workflow from issue reproduction to regression testing.</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 lightweight CI pattern suitable for balancing thesis progress and product quality.</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 thesis-aligned metric framework that links design decisions to measurable outcomes.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 concrete, extensible codebase structure (App Router + </w:t>
      </w:r>
      <w:r>
        <w:rPr>
          <w:rFonts w:ascii="Times New Roman" w:hAnsi="Times New Roman" w:eastAsia="Times New Roman"/>
          <w:b w:val="0"/>
          <w:i w:val="0"/>
          <w:sz w:val="26"/>
        </w:rPr>
        <w:t>src/lib</w:t>
      </w:r>
      <w:r>
        <w:rPr>
          <w:rFonts w:ascii="Times New Roman" w:hAnsi="Times New Roman" w:eastAsia="Times New Roman"/>
          <w:b w:val="0"/>
          <w:i w:val="0"/>
          <w:sz w:val="26"/>
        </w:rPr>
        <w:t xml:space="preserve"> modules) that supports both classic quant workflows and assistant-driven interaction.</w:t>
      </w:r>
    </w:p>
    <w:p>
      <w:pPr>
        <w:spacing w:before="240" w:after="120" w:line="360" w:lineRule="auto"/>
        <w:jc w:val="left"/>
      </w:pPr>
      <w:r>
        <w:rPr>
          <w:rFonts w:ascii="Times New Roman" w:hAnsi="Times New Roman" w:eastAsia="Times New Roman"/>
          <w:b/>
          <w:i w:val="0"/>
          <w:color w:val="000000"/>
          <w:sz w:val="28"/>
        </w:rPr>
        <w:t>5.4 Limitations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Limited symbol universe and historical range.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Dependence on internal endpoint availability and data freshness.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Provider-level variability may affect language quality even with grounding controls.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In-memory rate limiting and process-level caching are suitable for a single deployment instance but require a distributed alternative for horizontal scaling.</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Corporate actions and more advanced market microstructure effects are out of scope for this graduation project.</w:t>
      </w:r>
    </w:p>
    <w:p>
      <w:pPr>
        <w:spacing w:before="240" w:after="120" w:line="360" w:lineRule="auto"/>
        <w:jc w:val="left"/>
      </w:pPr>
      <w:r>
        <w:rPr>
          <w:rFonts w:ascii="Times New Roman" w:hAnsi="Times New Roman" w:eastAsia="Times New Roman"/>
          <w:b/>
          <w:i w:val="0"/>
          <w:color w:val="000000"/>
          <w:sz w:val="28"/>
        </w:rPr>
        <w:t>5.5 Future Work</w:t>
      </w:r>
    </w:p>
    <w:p>
      <w:pPr>
        <w:spacing w:after="120" w:before="0" w:line="360" w:lineRule="auto"/>
        <w:ind w:firstLine="720"/>
        <w:jc w:val="both"/>
      </w:pPr>
      <w:r>
        <w:rPr>
          <w:rFonts w:ascii="Times New Roman" w:hAnsi="Times New Roman" w:eastAsia="Times New Roman"/>
          <w:b w:val="0"/>
          <w:i w:val="0"/>
          <w:sz w:val="26"/>
        </w:rPr>
        <w:t>Engineering roadmap:</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Replace in-memory rate limiting with Redis-backed limits and shared counters for multi-instance deployments.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Introduce persistent storage for Strategy Lab runs, artifacts, and event streams (see </w:t>
      </w:r>
      <w:r>
        <w:rPr>
          <w:rFonts w:ascii="Times New Roman" w:hAnsi="Times New Roman" w:eastAsia="Times New Roman"/>
          <w:b w:val="0"/>
          <w:i w:val="0"/>
          <w:sz w:val="26"/>
        </w:rPr>
        <w:t>docs/STRATEGY_LAB_BACKEND_TECH_DESIGN.md</w:t>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Add richer data lineage and dataset snapshotting (manifest versioning, reproducible “data snapshot IDs” for experiments).</w:t>
      </w:r>
    </w:p>
    <w:p>
      <w:pPr>
        <w:spacing w:after="120" w:before="0" w:line="360" w:lineRule="auto"/>
        <w:ind w:firstLine="720"/>
        <w:jc w:val="both"/>
      </w:pPr>
      <w:r>
        <w:rPr>
          <w:rFonts w:ascii="Times New Roman" w:hAnsi="Times New Roman" w:eastAsia="Times New Roman"/>
          <w:b w:val="0"/>
          <w:i w:val="0"/>
          <w:sz w:val="26"/>
        </w:rPr>
        <w:t>Evaluation roadmap:</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Expand assistant prompt suites with more adversarial and longitudinal prompts, and add scheduled regression pipelines with drift dashboards.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Add calibration and uncertainty reporting for non-numeric narrative outputs, without weakening numeric evidence gates.</w:t>
      </w:r>
    </w:p>
    <w:p>
      <w:pPr>
        <w:spacing w:before="240" w:after="120" w:line="360" w:lineRule="auto"/>
        <w:jc w:val="left"/>
      </w:pPr>
      <w:r>
        <w:rPr>
          <w:rFonts w:ascii="Times New Roman" w:hAnsi="Times New Roman" w:eastAsia="Times New Roman"/>
          <w:b/>
          <w:i w:val="0"/>
          <w:color w:val="000000"/>
          <w:sz w:val="28"/>
        </w:rPr>
        <w:t>5.6 Final Remark</w:t>
      </w:r>
    </w:p>
    <w:p>
      <w:pPr>
        <w:spacing w:after="120" w:before="0" w:line="360" w:lineRule="auto"/>
        <w:ind w:firstLine="720"/>
        <w:jc w:val="both"/>
      </w:pPr>
      <w:r>
        <w:rPr>
          <w:rFonts w:ascii="Times New Roman" w:hAnsi="Times New Roman" w:eastAsia="Times New Roman"/>
          <w:b w:val="0"/>
          <w:i w:val="0"/>
          <w:sz w:val="26"/>
        </w:rPr>
        <w:t>For financial assistant systems, robust abstention with explicit evidence is often more valuable than broad but weakly supported responses. This principle should guide both product roadmap and future research.</w:t>
      </w:r>
    </w:p>
    <w:p>
      <w:r>
        <w:br w:type="page"/>
      </w:r>
    </w:p>
    <w:p>
      <w:pPr>
        <w:spacing w:before="360" w:after="120" w:line="360" w:lineRule="auto"/>
        <w:jc w:val="left"/>
      </w:pPr>
      <w:r>
        <w:rPr>
          <w:rFonts w:ascii="Times New Roman" w:hAnsi="Times New Roman" w:eastAsia="Times New Roman"/>
          <w:b/>
          <w:i w:val="0"/>
          <w:color w:val="000000"/>
          <w:sz w:val="32"/>
        </w:rPr>
        <w:t>TÀI LIỆU THAM KHẢO</w:t>
      </w:r>
    </w:p>
    <w:p>
      <w:pPr>
        <w:spacing w:after="80" w:before="40" w:line="312" w:lineRule="auto"/>
        <w:ind w:hanging="720" w:left="720"/>
        <w:jc w:val="both"/>
      </w:pPr>
      <w:r>
        <w:rPr>
          <w:rFonts w:ascii="Times New Roman" w:hAnsi="Times New Roman" w:eastAsia="Times New Roman"/>
          <w:b w:val="0"/>
          <w:i w:val="0"/>
          <w:sz w:val="24"/>
        </w:rPr>
        <w:t>Almgren, R., &amp; Chriss, N. (2001). Optimal execution of portfolio transactions. *Journal of Risk, 3*(2), 5-39. https://doi.org/10.21314/JOR.2001.041</w:t>
      </w:r>
    </w:p>
    <w:p>
      <w:pPr>
        <w:spacing w:after="80" w:before="40" w:line="312" w:lineRule="auto"/>
        <w:ind w:hanging="720" w:left="720"/>
        <w:jc w:val="both"/>
      </w:pPr>
      <w:r>
        <w:rPr>
          <w:rFonts w:ascii="Times New Roman" w:hAnsi="Times New Roman" w:eastAsia="Times New Roman"/>
          <w:b w:val="0"/>
          <w:i w:val="0"/>
          <w:sz w:val="24"/>
        </w:rPr>
        <w:t>Artzner, P., Delbaen, F., Eber, J.-M., &amp; Heath, D. (1999). Coherent measures of risk. *Mathematical Finance, 9*(3), 203-228. https://doi.org/10.1111/1467-9965.00068</w:t>
      </w:r>
    </w:p>
    <w:p>
      <w:pPr>
        <w:spacing w:after="80" w:before="40" w:line="312" w:lineRule="auto"/>
        <w:ind w:hanging="720" w:left="720"/>
        <w:jc w:val="both"/>
      </w:pPr>
      <w:r>
        <w:rPr>
          <w:rFonts w:ascii="Times New Roman" w:hAnsi="Times New Roman" w:eastAsia="Times New Roman"/>
          <w:b w:val="0"/>
          <w:i w:val="0"/>
          <w:sz w:val="24"/>
        </w:rPr>
        <w:t>Bailey, D. H., Borwein, J. M., Lopez de Prado, M., &amp; Zhu, Q. J. (2016). The probability of backtest overfitting. *Quantitative Finance, 16*(6), 813-825. https://doi.org/10.1080/14697688.2015.1061509</w:t>
      </w:r>
    </w:p>
    <w:p>
      <w:pPr>
        <w:spacing w:after="80" w:before="40" w:line="312" w:lineRule="auto"/>
        <w:ind w:hanging="720" w:left="720"/>
        <w:jc w:val="both"/>
      </w:pPr>
      <w:r>
        <w:rPr>
          <w:rFonts w:ascii="Times New Roman" w:hAnsi="Times New Roman" w:eastAsia="Times New Roman"/>
          <w:b w:val="0"/>
          <w:i w:val="0"/>
          <w:sz w:val="24"/>
        </w:rPr>
        <w:t>Brock, W., Lakonishok, J., &amp; LeBaron, B. (1992). Simple technical trading rules and the stochastic properties of stock returns. *The Journal of Finance, 47*(5), 1731-1764. https://doi.org/10.1111/j.1540-6261.1992.tb04681.x</w:t>
      </w:r>
    </w:p>
    <w:p>
      <w:pPr>
        <w:spacing w:after="80" w:before="40" w:line="312" w:lineRule="auto"/>
        <w:ind w:hanging="720" w:left="720"/>
        <w:jc w:val="both"/>
      </w:pPr>
      <w:r>
        <w:rPr>
          <w:rFonts w:ascii="Times New Roman" w:hAnsi="Times New Roman" w:eastAsia="Times New Roman"/>
          <w:b w:val="0"/>
          <w:i w:val="0"/>
          <w:sz w:val="24"/>
        </w:rPr>
        <w:t>Brown, S. J., Goetzmann, W. N., Ibbotson, R. G., &amp; Ross, S. A. (1992). Survivorship bias in performance studies. *Review of Financial Studies, 5*(4), 553-580. https://doi.org/10.1093/rfs/5.4.553</w:t>
      </w:r>
    </w:p>
    <w:p>
      <w:pPr>
        <w:spacing w:after="80" w:before="40" w:line="312" w:lineRule="auto"/>
        <w:ind w:hanging="720" w:left="720"/>
        <w:jc w:val="both"/>
      </w:pPr>
      <w:r>
        <w:rPr>
          <w:rFonts w:ascii="Times New Roman" w:hAnsi="Times New Roman" w:eastAsia="Times New Roman"/>
          <w:b w:val="0"/>
          <w:i w:val="0"/>
          <w:sz w:val="24"/>
        </w:rPr>
        <w:t>Carhart, M. M. (1997). On persistence in mutual fund performance. *The Journal of Finance, 52*(1), 57-82. https://doi.org/10.1111/j.1540-6261.1997.tb03808.x</w:t>
      </w:r>
    </w:p>
    <w:p>
      <w:pPr>
        <w:spacing w:after="80" w:before="40" w:line="312" w:lineRule="auto"/>
        <w:ind w:hanging="720" w:left="720"/>
        <w:jc w:val="both"/>
      </w:pPr>
      <w:r>
        <w:rPr>
          <w:rFonts w:ascii="Times New Roman" w:hAnsi="Times New Roman" w:eastAsia="Times New Roman"/>
          <w:b w:val="0"/>
          <w:i w:val="0"/>
          <w:sz w:val="24"/>
        </w:rPr>
        <w:t>Cochrane, J. H. (2011). Presidential address: Discount rates. *The Journal of Finance, 66*(4), 1047-1108. https://doi.org/10.1111/j.1540-6261.2011.01671.x</w:t>
      </w:r>
    </w:p>
    <w:p>
      <w:pPr>
        <w:spacing w:after="80" w:before="40" w:line="312" w:lineRule="auto"/>
        <w:ind w:hanging="720" w:left="720"/>
        <w:jc w:val="both"/>
      </w:pPr>
      <w:r>
        <w:rPr>
          <w:rFonts w:ascii="Times New Roman" w:hAnsi="Times New Roman" w:eastAsia="Times New Roman"/>
          <w:b w:val="0"/>
          <w:i w:val="0"/>
          <w:sz w:val="24"/>
        </w:rPr>
        <w:t>Es, S., James, J., Espinosa-Anke, L., &amp; Schockaert, S. (2023). RAGAS: Automated evaluation of retrieval augmented generation. *arXiv*. https://doi.org/10.48550/arXiv.2309.15217</w:t>
      </w:r>
    </w:p>
    <w:p>
      <w:pPr>
        <w:spacing w:after="80" w:before="40" w:line="312" w:lineRule="auto"/>
        <w:ind w:hanging="720" w:left="720"/>
        <w:jc w:val="both"/>
      </w:pPr>
      <w:r>
        <w:rPr>
          <w:rFonts w:ascii="Times New Roman" w:hAnsi="Times New Roman" w:eastAsia="Times New Roman"/>
          <w:b w:val="0"/>
          <w:i w:val="0"/>
          <w:sz w:val="24"/>
        </w:rPr>
        <w:t>Fama, E. F. (1970). Efficient capital markets: A review of theory and empirical work. *The Journal of Finance, 25*(2), 383-417. https://doi.org/10.1111/j.1540-6261.1970.tb00518.x</w:t>
      </w:r>
    </w:p>
    <w:p>
      <w:pPr>
        <w:spacing w:after="80" w:before="40" w:line="312" w:lineRule="auto"/>
        <w:ind w:hanging="720" w:left="720"/>
        <w:jc w:val="both"/>
      </w:pPr>
      <w:r>
        <w:rPr>
          <w:rFonts w:ascii="Times New Roman" w:hAnsi="Times New Roman" w:eastAsia="Times New Roman"/>
          <w:b w:val="0"/>
          <w:i w:val="0"/>
          <w:sz w:val="24"/>
        </w:rPr>
        <w:t>Fama, E. F., &amp; French, K. R. (1993). Common risk factors in the returns on stocks and bonds. *Journal of Financial Economics, 33*(1), 3-56. https://doi.org/10.1016/0304-405X(93)90023-5</w:t>
      </w:r>
    </w:p>
    <w:p>
      <w:pPr>
        <w:spacing w:after="80" w:before="40" w:line="312" w:lineRule="auto"/>
        <w:ind w:hanging="720" w:left="720"/>
        <w:jc w:val="both"/>
      </w:pPr>
      <w:r>
        <w:rPr>
          <w:rFonts w:ascii="Times New Roman" w:hAnsi="Times New Roman" w:eastAsia="Times New Roman"/>
          <w:b w:val="0"/>
          <w:i w:val="0"/>
          <w:sz w:val="24"/>
        </w:rPr>
        <w:t>Fama, E. F., &amp; French, K. R. (2015). A five-factor asset pricing model. *Journal of Financial Economics, 116*(1), 1-22. https://doi.org/10.1016/j.jfineco.2014.10.010</w:t>
      </w:r>
    </w:p>
    <w:p>
      <w:pPr>
        <w:spacing w:after="80" w:before="40" w:line="312" w:lineRule="auto"/>
        <w:ind w:hanging="720" w:left="720"/>
        <w:jc w:val="both"/>
      </w:pPr>
      <w:r>
        <w:rPr>
          <w:rFonts w:ascii="Times New Roman" w:hAnsi="Times New Roman" w:eastAsia="Times New Roman"/>
          <w:b w:val="0"/>
          <w:i w:val="0"/>
          <w:sz w:val="24"/>
        </w:rPr>
        <w:t>Fischer, T., &amp; Krauss, C. (2018). Deep learning with long short-term memory networks for financial market predictions. *European Journal of Operational Research, 270*(2), 654-669. https://doi.org/10.1016/j.ejor.2017.11.054</w:t>
      </w:r>
    </w:p>
    <w:p>
      <w:pPr>
        <w:spacing w:after="80" w:before="40" w:line="312" w:lineRule="auto"/>
        <w:ind w:hanging="720" w:left="720"/>
        <w:jc w:val="both"/>
      </w:pPr>
      <w:r>
        <w:rPr>
          <w:rFonts w:ascii="Times New Roman" w:hAnsi="Times New Roman" w:eastAsia="Times New Roman"/>
          <w:b w:val="0"/>
          <w:i w:val="0"/>
          <w:sz w:val="24"/>
        </w:rPr>
        <w:t>Gu, S., Kelly, B., &amp; Xiu, D. (2020). Empirical asset pricing via machine learning. *The Review of Financial Studies, 33*(5), 2223-2273. https://doi.org/10.1093/rfs/hhaa009</w:t>
      </w:r>
    </w:p>
    <w:p>
      <w:pPr>
        <w:spacing w:after="80" w:before="40" w:line="312" w:lineRule="auto"/>
        <w:ind w:hanging="720" w:left="720"/>
        <w:jc w:val="both"/>
      </w:pPr>
      <w:r>
        <w:rPr>
          <w:rFonts w:ascii="Times New Roman" w:hAnsi="Times New Roman" w:eastAsia="Times New Roman"/>
          <w:b w:val="0"/>
          <w:i w:val="0"/>
          <w:sz w:val="24"/>
        </w:rPr>
        <w:t>Hansen, P. R. (2005). A test for superior predictive ability. *Journal of Business &amp; Economic Statistics, 23*(4), 365-380. https://doi.org/10.1198/073500105000000063</w:t>
      </w:r>
    </w:p>
    <w:p>
      <w:pPr>
        <w:spacing w:after="80" w:before="40" w:line="312" w:lineRule="auto"/>
        <w:ind w:hanging="720" w:left="720"/>
        <w:jc w:val="both"/>
      </w:pPr>
      <w:r>
        <w:rPr>
          <w:rFonts w:ascii="Times New Roman" w:hAnsi="Times New Roman" w:eastAsia="Times New Roman"/>
          <w:b w:val="0"/>
          <w:i w:val="0"/>
          <w:sz w:val="24"/>
        </w:rPr>
        <w:t>Harvey, C. R., Liu, Y., &amp; Zhu, H. (2016). ...and the cross-section of expected returns. *The Review of Financial Studies, 29*(1), 5-68. https://doi.org/10.1093/rfs/hhv059</w:t>
      </w:r>
    </w:p>
    <w:p>
      <w:pPr>
        <w:spacing w:after="80" w:before="40" w:line="312" w:lineRule="auto"/>
        <w:ind w:hanging="720" w:left="720"/>
        <w:jc w:val="both"/>
      </w:pPr>
      <w:r>
        <w:rPr>
          <w:rFonts w:ascii="Times New Roman" w:hAnsi="Times New Roman" w:eastAsia="Times New Roman"/>
          <w:b w:val="0"/>
          <w:i w:val="0"/>
          <w:sz w:val="24"/>
        </w:rPr>
        <w:t>Hastie, T., Tibshirani, R., &amp; Friedman, J. (2009). *The elements of statistical learning: Data mining, inference, and prediction* (2nd ed.). Springer. https://doi.org/10.1007/978-0-387-84858-7</w:t>
      </w:r>
    </w:p>
    <w:p>
      <w:pPr>
        <w:spacing w:after="80" w:before="40" w:line="312" w:lineRule="auto"/>
        <w:ind w:hanging="720" w:left="720"/>
        <w:jc w:val="both"/>
      </w:pPr>
      <w:r>
        <w:rPr>
          <w:rFonts w:ascii="Times New Roman" w:hAnsi="Times New Roman" w:eastAsia="Times New Roman"/>
          <w:b w:val="0"/>
          <w:i w:val="0"/>
          <w:sz w:val="24"/>
        </w:rPr>
        <w:t>Jegadeesh, N., &amp; Titman, S. (1993). Returns to buying winners and selling losers: Implications for stock market efficiency. *The Journal of Finance, 48*(1), 65-91. https://doi.org/10.1111/j.1540-6261.1993.tb04702.x</w:t>
      </w:r>
    </w:p>
    <w:p>
      <w:pPr>
        <w:spacing w:after="80" w:before="40" w:line="312" w:lineRule="auto"/>
        <w:ind w:hanging="720" w:left="720"/>
        <w:jc w:val="both"/>
      </w:pPr>
      <w:r>
        <w:rPr>
          <w:rFonts w:ascii="Times New Roman" w:hAnsi="Times New Roman" w:eastAsia="Times New Roman"/>
          <w:b w:val="0"/>
          <w:i w:val="0"/>
          <w:sz w:val="24"/>
        </w:rPr>
        <w:t>Kelly, B., Pruitt, S., &amp; Su, Y. (2019). Characteristics are covariances: A unified model of risk and return. *Journal of Financial Economics, 134*(3), 501-524. https://doi.org/10.1016/j.jfineco.2019.05.001</w:t>
      </w:r>
    </w:p>
    <w:p>
      <w:pPr>
        <w:spacing w:after="80" w:before="40" w:line="312" w:lineRule="auto"/>
        <w:ind w:hanging="720" w:left="720"/>
        <w:jc w:val="both"/>
      </w:pPr>
      <w:r>
        <w:rPr>
          <w:rFonts w:ascii="Times New Roman" w:hAnsi="Times New Roman" w:eastAsia="Times New Roman"/>
          <w:b w:val="0"/>
          <w:i w:val="0"/>
          <w:sz w:val="24"/>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after="80" w:before="40" w:line="312" w:lineRule="auto"/>
        <w:ind w:hanging="720" w:left="720"/>
        <w:jc w:val="both"/>
      </w:pPr>
      <w:r>
        <w:rPr>
          <w:rFonts w:ascii="Times New Roman" w:hAnsi="Times New Roman" w:eastAsia="Times New Roman"/>
          <w:b w:val="0"/>
          <w:i w:val="0"/>
          <w:sz w:val="24"/>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after="80" w:before="40" w:line="312" w:lineRule="auto"/>
        <w:ind w:hanging="720" w:left="720"/>
        <w:jc w:val="both"/>
      </w:pPr>
      <w:r>
        <w:rPr>
          <w:rFonts w:ascii="Times New Roman" w:hAnsi="Times New Roman" w:eastAsia="Times New Roman"/>
          <w:b w:val="0"/>
          <w:i w:val="0"/>
          <w:sz w:val="24"/>
        </w:rPr>
        <w:t>Lo, A. W. (2002). The statistics of Sharpe ratios. *Financial Analysts Journal, 58*(4), 36-52. https://doi.org/10.2469/faj.v58.n4.2453</w:t>
      </w:r>
    </w:p>
    <w:p>
      <w:pPr>
        <w:spacing w:after="80" w:before="40" w:line="312" w:lineRule="auto"/>
        <w:ind w:hanging="720" w:left="720"/>
        <w:jc w:val="both"/>
      </w:pPr>
      <w:r>
        <w:rPr>
          <w:rFonts w:ascii="Times New Roman" w:hAnsi="Times New Roman" w:eastAsia="Times New Roman"/>
          <w:b w:val="0"/>
          <w:i w:val="0"/>
          <w:sz w:val="24"/>
        </w:rPr>
        <w:t>Lo, A. W., Mamaysky, H., &amp; Wang, J. (2000). Foundations of technical analysis: Computational algorithms, statistical inference, and empirical implementation. *The Journal of Finance, 55*(4), 1705-1765. https://doi.org/10.1111/0022-1082.00265</w:t>
      </w:r>
    </w:p>
    <w:p>
      <w:pPr>
        <w:spacing w:after="80" w:before="40" w:line="312" w:lineRule="auto"/>
        <w:ind w:hanging="720" w:left="720"/>
        <w:jc w:val="both"/>
      </w:pPr>
      <w:r>
        <w:rPr>
          <w:rFonts w:ascii="Times New Roman" w:hAnsi="Times New Roman" w:eastAsia="Times New Roman"/>
          <w:b w:val="0"/>
          <w:i w:val="0"/>
          <w:sz w:val="24"/>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after="80" w:before="40" w:line="312" w:lineRule="auto"/>
        <w:ind w:hanging="720" w:left="720"/>
        <w:jc w:val="both"/>
      </w:pPr>
      <w:r>
        <w:rPr>
          <w:rFonts w:ascii="Times New Roman" w:hAnsi="Times New Roman" w:eastAsia="Times New Roman"/>
          <w:b w:val="0"/>
          <w:i w:val="0"/>
          <w:sz w:val="24"/>
        </w:rPr>
        <w:t>Markowitz, H. (1952). Portfolio selection. *The Journal of Finance, 7*(1), 77-91. https://doi.org/10.1111/j.1540-6261.1952.tb01525.x</w:t>
      </w:r>
    </w:p>
    <w:p>
      <w:pPr>
        <w:spacing w:after="80" w:before="40" w:line="312" w:lineRule="auto"/>
        <w:ind w:hanging="720" w:left="720"/>
        <w:jc w:val="both"/>
      </w:pPr>
      <w:r>
        <w:rPr>
          <w:rFonts w:ascii="Times New Roman" w:hAnsi="Times New Roman" w:eastAsia="Times New Roman"/>
          <w:b w:val="0"/>
          <w:i w:val="0"/>
          <w:sz w:val="24"/>
        </w:rPr>
        <w:t>McLean, R. D., &amp; Pontiff, J. (2016). Does academic research destroy stock return predictability? *The Journal of Finance, 71*(1), 5-32. https://doi.org/10.1111/jofi.12365</w:t>
      </w:r>
    </w:p>
    <w:p>
      <w:pPr>
        <w:spacing w:after="80" w:before="40" w:line="312" w:lineRule="auto"/>
        <w:ind w:hanging="720" w:left="720"/>
        <w:jc w:val="both"/>
      </w:pPr>
      <w:r>
        <w:rPr>
          <w:rFonts w:ascii="Times New Roman" w:hAnsi="Times New Roman" w:eastAsia="Times New Roman"/>
          <w:b w:val="0"/>
          <w:i w:val="0"/>
          <w:sz w:val="24"/>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after="80" w:before="40" w:line="312" w:lineRule="auto"/>
        <w:ind w:hanging="720" w:left="720"/>
        <w:jc w:val="both"/>
      </w:pPr>
      <w:r>
        <w:rPr>
          <w:rFonts w:ascii="Times New Roman" w:hAnsi="Times New Roman" w:eastAsia="Times New Roman"/>
          <w:b w:val="0"/>
          <w:i w:val="0"/>
          <w:sz w:val="24"/>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after="80" w:before="40" w:line="312" w:lineRule="auto"/>
        <w:ind w:hanging="720" w:left="720"/>
        <w:jc w:val="both"/>
      </w:pPr>
      <w:r>
        <w:rPr>
          <w:rFonts w:ascii="Times New Roman" w:hAnsi="Times New Roman" w:eastAsia="Times New Roman"/>
          <w:b w:val="0"/>
          <w:i w:val="0"/>
          <w:sz w:val="24"/>
        </w:rPr>
        <w:t>Rockafellar, R. T., &amp; Uryasev, S. (2000). Optimization of conditional value-at-risk. *The Journal of Risk, 2*(3), 21-41. https://doi.org/10.21314/JOR.2000.038</w:t>
      </w:r>
    </w:p>
    <w:p>
      <w:pPr>
        <w:spacing w:after="80" w:before="40" w:line="312" w:lineRule="auto"/>
        <w:ind w:hanging="720" w:left="720"/>
        <w:jc w:val="both"/>
      </w:pPr>
      <w:r>
        <w:rPr>
          <w:rFonts w:ascii="Times New Roman" w:hAnsi="Times New Roman" w:eastAsia="Times New Roman"/>
          <w:b w:val="0"/>
          <w:i w:val="0"/>
          <w:sz w:val="24"/>
        </w:rPr>
        <w:t>Schick, T., Dwivedi-Yu, J., Dessi, R., Raileanu, R., Lomeli, M., Zettlemoyer, L., Cancedda, N., &amp; Scialom, T. (2023). Toolformer: Language models can teach themselves to use tools. *arXiv*. https://doi.org/10.48550/arXiv.2302.04761</w:t>
      </w:r>
    </w:p>
    <w:p>
      <w:pPr>
        <w:spacing w:after="80" w:before="40" w:line="312" w:lineRule="auto"/>
        <w:ind w:hanging="720" w:left="720"/>
        <w:jc w:val="both"/>
      </w:pPr>
      <w:r>
        <w:rPr>
          <w:rFonts w:ascii="Times New Roman" w:hAnsi="Times New Roman" w:eastAsia="Times New Roman"/>
          <w:b w:val="0"/>
          <w:i w:val="0"/>
          <w:sz w:val="24"/>
        </w:rPr>
        <w:t>Sharpe, W. F. (1964). Capital asset prices: A theory of market equilibrium under conditions of risk. *The Journal of Finance, 19*(3), 425-442. https://doi.org/10.1111/j.1540-6261.1964.tb02865.x</w:t>
      </w:r>
    </w:p>
    <w:p>
      <w:pPr>
        <w:spacing w:after="80" w:before="40" w:line="312" w:lineRule="auto"/>
        <w:ind w:hanging="720" w:left="720"/>
        <w:jc w:val="both"/>
      </w:pPr>
      <w:r>
        <w:rPr>
          <w:rFonts w:ascii="Times New Roman" w:hAnsi="Times New Roman" w:eastAsia="Times New Roman"/>
          <w:b w:val="0"/>
          <w:i w:val="0"/>
          <w:sz w:val="24"/>
        </w:rPr>
        <w:t>Sharpe, W. F. (1966). Mutual fund performance. *The Journal of Business, 39*(1), 119-138. https://doi.org/10.1086/294846</w:t>
      </w:r>
    </w:p>
    <w:p>
      <w:pPr>
        <w:spacing w:after="80" w:before="40" w:line="312" w:lineRule="auto"/>
        <w:ind w:hanging="720" w:left="720"/>
        <w:jc w:val="both"/>
      </w:pPr>
      <w:r>
        <w:rPr>
          <w:rFonts w:ascii="Times New Roman" w:hAnsi="Times New Roman" w:eastAsia="Times New Roman"/>
          <w:b w:val="0"/>
          <w:i w:val="0"/>
          <w:sz w:val="24"/>
        </w:rPr>
        <w:t>Sullivan, R., Timmermann, A., &amp; White, H. (1999). Data-snooping, technical trading rule performance, and the bootstrap. *The Journal of Finance, 54*(5), 1647-1691. https://doi.org/10.1111/0022-1082.00163</w:t>
      </w:r>
    </w:p>
    <w:p>
      <w:pPr>
        <w:spacing w:after="80" w:before="40" w:line="312" w:lineRule="auto"/>
        <w:ind w:hanging="720" w:left="720"/>
        <w:jc w:val="both"/>
      </w:pPr>
      <w:r>
        <w:rPr>
          <w:rFonts w:ascii="Times New Roman" w:hAnsi="Times New Roman" w:eastAsia="Times New Roman"/>
          <w:b w:val="0"/>
          <w:i w:val="0"/>
          <w:sz w:val="24"/>
        </w:rPr>
        <w:t>White, H. (2000). A reality check for data snooping. *Econometrica, 68*(5), 1097-1126. https://doi.org/10.1111/1468-0262.00152</w:t>
      </w:r>
    </w:p>
    <w:p>
      <w:pPr>
        <w:spacing w:after="80" w:before="40" w:line="312" w:lineRule="auto"/>
        <w:ind w:hanging="720" w:left="720"/>
        <w:jc w:val="both"/>
      </w:pPr>
      <w:r>
        <w:rPr>
          <w:rFonts w:ascii="Times New Roman" w:hAnsi="Times New Roman" w:eastAsia="Times New Roman"/>
          <w:b w:val="0"/>
          <w:i w:val="0"/>
          <w:sz w:val="24"/>
        </w:rPr>
        <w:t>Wu, S., Irsoy, O., Lu, S., Dabravolski, V., Dredze, M., Gehrmann, S., Kambadur, P., Rosenberg, D., &amp; Wu, G. (2023). BloombergGPT: A large language model for finance. *arXiv*. https://arxiv.org/abs/2303.17564</w:t>
      </w:r>
    </w:p>
    <w:p>
      <w:pPr>
        <w:spacing w:after="80" w:before="40" w:line="312" w:lineRule="auto"/>
        <w:ind w:hanging="720" w:left="720"/>
        <w:jc w:val="both"/>
      </w:pPr>
      <w:r>
        <w:rPr>
          <w:rFonts w:ascii="Times New Roman" w:hAnsi="Times New Roman" w:eastAsia="Times New Roman"/>
          <w:b w:val="0"/>
          <w:i w:val="0"/>
          <w:sz w:val="24"/>
        </w:rPr>
        <w:t>Yang, H., Liu, X.-Y., Wang, Y., Nie, W., &amp; Liu, J. (2023). FinGPT: Open-source financial large language models. *arXiv*. https://arxiv.org/abs/2306.06031</w:t>
      </w:r>
    </w:p>
    <w:p>
      <w:pPr>
        <w:spacing w:after="80" w:before="40" w:line="312" w:lineRule="auto"/>
        <w:ind w:hanging="720" w:left="720"/>
        <w:jc w:val="both"/>
      </w:pPr>
      <w:r>
        <w:rPr>
          <w:rFonts w:ascii="Times New Roman" w:hAnsi="Times New Roman" w:eastAsia="Times New Roman"/>
          <w:b w:val="0"/>
          <w:i w:val="0"/>
          <w:sz w:val="24"/>
        </w:rPr>
        <w:t>Yao, S., Zhao, J., Yu, D., Du, N., Shafran, I., Narasimhan, K., &amp; Cao, Y. (2022). ReAct: Synergizing reasoning and acting in language models. *arXiv*. https://doi.org/10.48550/arXiv.2210.03629</w:t>
      </w:r>
    </w:p>
    <w:p>
      <w:r>
        <w:br w:type="page"/>
      </w:r>
    </w:p>
    <w:p>
      <w:pPr>
        <w:spacing w:before="360" w:after="120" w:line="360" w:lineRule="auto"/>
        <w:jc w:val="left"/>
      </w:pPr>
      <w:r>
        <w:rPr>
          <w:rFonts w:ascii="Times New Roman" w:hAnsi="Times New Roman" w:eastAsia="Times New Roman"/>
          <w:b/>
          <w:i w:val="0"/>
          <w:color w:val="000000"/>
          <w:sz w:val="32"/>
        </w:rPr>
        <w:t>Appendix A: Implementation Traceability (Code-to-Text Map)</w:t>
      </w:r>
    </w:p>
    <w:p>
      <w:pPr>
        <w:spacing w:after="120" w:before="0" w:line="360" w:lineRule="auto"/>
        <w:ind w:firstLine="720"/>
        <w:jc w:val="both"/>
      </w:pPr>
      <w:r>
        <w:rPr>
          <w:rFonts w:ascii="Times New Roman" w:hAnsi="Times New Roman" w:eastAsia="Times New Roman"/>
          <w:b w:val="0"/>
          <w:i w:val="0"/>
          <w:sz w:val="26"/>
        </w:rPr>
        <w:t>This appendix is provided for auditability and reproducibility. Chapters 1-3 describe the system at the level of architecture, workflows, and methodological contracts. The system is implemented in a single codebase; the mappings below indicate where each described function is implemented.</w:t>
      </w:r>
    </w:p>
    <w:p>
      <w:pPr>
        <w:spacing w:after="120" w:before="0" w:line="360" w:lineRule="auto"/>
        <w:ind w:firstLine="720"/>
        <w:jc w:val="both"/>
      </w:pPr>
      <w:r>
        <w:rPr>
          <w:rFonts w:ascii="Times New Roman" w:hAnsi="Times New Roman" w:eastAsia="Times New Roman"/>
          <w:b w:val="0"/>
          <w:i w:val="0"/>
          <w:sz w:val="26"/>
        </w:rPr>
        <w:t>The appendix is not required for thesis comprehension. It exists to support reviewers who want to verify that claims about implementation match the repository.</w:t>
      </w:r>
    </w:p>
    <w:p>
      <w:pPr>
        <w:spacing w:before="240" w:after="120" w:line="360" w:lineRule="auto"/>
        <w:jc w:val="left"/>
      </w:pPr>
      <w:r>
        <w:rPr>
          <w:rFonts w:ascii="Times New Roman" w:hAnsi="Times New Roman" w:eastAsia="Times New Roman"/>
          <w:b/>
          <w:i w:val="0"/>
          <w:color w:val="000000"/>
          <w:sz w:val="28"/>
        </w:rPr>
        <w:t>A.1 Presentation and Routing Layer</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Global layout and shell (navigation, assistant panel): </w:t>
      </w:r>
      <w:r>
        <w:rPr>
          <w:rFonts w:ascii="Times New Roman" w:hAnsi="Times New Roman" w:eastAsia="Times New Roman"/>
          <w:b w:val="0"/>
          <w:i w:val="0"/>
          <w:sz w:val="26"/>
        </w:rPr>
        <w:t>src/app/layout.tsx</w:t>
      </w:r>
      <w:r>
        <w:rPr>
          <w:rFonts w:ascii="Times New Roman" w:hAnsi="Times New Roman" w:eastAsia="Times New Roman"/>
          <w:b w:val="0"/>
          <w:i w:val="0"/>
          <w:sz w:val="26"/>
        </w:rPr>
        <w:t xml:space="preserve">, </w:t>
      </w:r>
      <w:r>
        <w:rPr>
          <w:rFonts w:ascii="Times New Roman" w:hAnsi="Times New Roman" w:eastAsia="Times New Roman"/>
          <w:b w:val="0"/>
          <w:i w:val="0"/>
          <w:sz w:val="26"/>
        </w:rPr>
        <w:t>src/components/layout/*</w:t>
      </w:r>
      <w:r>
        <w:rPr>
          <w:rFonts w:ascii="Times New Roman" w:hAnsi="Times New Roman" w:eastAsia="Times New Roman"/>
          <w:b w:val="0"/>
          <w:i w:val="0"/>
          <w:sz w:val="26"/>
        </w:rPr>
        <w:t xml:space="preserve">, </w:t>
      </w:r>
      <w:r>
        <w:rPr>
          <w:rFonts w:ascii="Times New Roman" w:hAnsi="Times New Roman" w:eastAsia="Times New Roman"/>
          <w:b w:val="0"/>
          <w:i w:val="0"/>
          <w:sz w:val="26"/>
        </w:rPr>
        <w:t>src/components/assistant/AiAssistantPanel.tsx</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User workflows (pages): </w:t>
      </w:r>
      <w:r>
        <w:rPr>
          <w:rFonts w:ascii="Times New Roman" w:hAnsi="Times New Roman" w:eastAsia="Times New Roman"/>
          <w:b w:val="0"/>
          <w:i w:val="0"/>
          <w:sz w:val="26"/>
        </w:rPr>
        <w:t>src/app/screener/page.tsx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src/app/charts/page.tsx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src/app/backtesting/page.tsx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src/app/portfolio/page.tsx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src/app/risk/page.tsx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src/app/factors/page.tsx</w:t>
      </w:r>
      <w:r>
        <w:rPr>
          <w:rFonts w:ascii="Times New Roman" w:hAnsi="Times New Roman" w:eastAsia="Times New Roman"/>
          <w:b w:val="0"/>
          <w:i w:val="0"/>
          <w:sz w:val="26"/>
        </w:rPr>
        <w:t xml:space="preserve">, </w:t>
      </w:r>
      <w:r>
        <w:rPr>
          <w:rFonts w:ascii="Times New Roman" w:hAnsi="Times New Roman" w:eastAsia="Times New Roman"/>
          <w:b w:val="0"/>
          <w:i w:val="0"/>
          <w:sz w:val="26"/>
        </w:rPr>
        <w:t>src/app/strategy-builder/page.tsx</w:t>
      </w:r>
    </w:p>
    <w:p>
      <w:pPr>
        <w:spacing w:before="240" w:after="120" w:line="360" w:lineRule="auto"/>
        <w:jc w:val="left"/>
      </w:pPr>
      <w:r>
        <w:rPr>
          <w:rFonts w:ascii="Times New Roman" w:hAnsi="Times New Roman" w:eastAsia="Times New Roman"/>
          <w:b/>
          <w:i w:val="0"/>
          <w:color w:val="000000"/>
          <w:sz w:val="28"/>
        </w:rPr>
        <w:t>A.2 API Layer (Deterministic Internal Endpoints)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Backtesting API: </w:t>
      </w:r>
      <w:r>
        <w:rPr>
          <w:rFonts w:ascii="Times New Roman" w:hAnsi="Times New Roman" w:eastAsia="Times New Roman"/>
          <w:b w:val="0"/>
          <w:i w:val="0"/>
          <w:sz w:val="26"/>
        </w:rPr>
        <w:t>src/app/api/backtesting/route.ts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Risk API: </w:t>
      </w:r>
      <w:r>
        <w:rPr>
          <w:rFonts w:ascii="Times New Roman" w:hAnsi="Times New Roman" w:eastAsia="Times New Roman"/>
          <w:b w:val="0"/>
          <w:i w:val="0"/>
          <w:sz w:val="26"/>
        </w:rPr>
        <w:t>src/app/api/risk/route.ts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Portfolio optimisation API: </w:t>
      </w:r>
      <w:r>
        <w:rPr>
          <w:rFonts w:ascii="Times New Roman" w:hAnsi="Times New Roman" w:eastAsia="Times New Roman"/>
          <w:b w:val="0"/>
          <w:i w:val="0"/>
          <w:sz w:val="26"/>
        </w:rPr>
        <w:t>src/app/api/optimize/route.ts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Factors API: </w:t>
      </w:r>
      <w:r>
        <w:rPr>
          <w:rFonts w:ascii="Times New Roman" w:hAnsi="Times New Roman" w:eastAsia="Times New Roman"/>
          <w:b w:val="0"/>
          <w:i w:val="0"/>
          <w:sz w:val="26"/>
        </w:rPr>
        <w:t>src/app/api/factors/route.ts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Data readiness/health API: </w:t>
      </w:r>
      <w:r>
        <w:rPr>
          <w:rFonts w:ascii="Times New Roman" w:hAnsi="Times New Roman" w:eastAsia="Times New Roman"/>
          <w:b w:val="0"/>
          <w:i w:val="0"/>
          <w:sz w:val="26"/>
        </w:rPr>
        <w:t>src/app/api/health/data/route.ts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Strategy Lab APIs: </w:t>
      </w:r>
      <w:r>
        <w:rPr>
          <w:rFonts w:ascii="Times New Roman" w:hAnsi="Times New Roman" w:eastAsia="Times New Roman"/>
          <w:b w:val="0"/>
          <w:i w:val="0"/>
          <w:sz w:val="26"/>
        </w:rPr>
        <w:t>src/app/api/strategy-lab/*</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API: </w:t>
      </w:r>
      <w:r>
        <w:rPr>
          <w:rFonts w:ascii="Times New Roman" w:hAnsi="Times New Roman" w:eastAsia="Times New Roman"/>
          <w:b w:val="0"/>
          <w:i w:val="0"/>
          <w:sz w:val="26"/>
        </w:rPr>
        <w:t>src/app/api/assistant/route.ts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Human-in-the-loop execution boundary: </w:t>
      </w:r>
      <w:r>
        <w:rPr>
          <w:rFonts w:ascii="Times New Roman" w:hAnsi="Times New Roman" w:eastAsia="Times New Roman"/>
          <w:b w:val="0"/>
          <w:i w:val="0"/>
          <w:sz w:val="26"/>
        </w:rPr>
        <w:t>src/app/api/assistant/execute/route.ts</w:t>
      </w:r>
    </w:p>
    <w:p>
      <w:pPr>
        <w:spacing w:before="240" w:after="120" w:line="360" w:lineRule="auto"/>
        <w:jc w:val="left"/>
      </w:pPr>
      <w:r>
        <w:rPr>
          <w:rFonts w:ascii="Times New Roman" w:hAnsi="Times New Roman" w:eastAsia="Times New Roman"/>
          <w:b/>
          <w:i w:val="0"/>
          <w:color w:val="000000"/>
          <w:sz w:val="28"/>
        </w:rPr>
        <w:t>A.3 Quantitative Analytics Layer (Quant Engine)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Technical indicators: </w:t>
      </w:r>
      <w:r>
        <w:rPr>
          <w:rFonts w:ascii="Times New Roman" w:hAnsi="Times New Roman" w:eastAsia="Times New Roman"/>
          <w:b w:val="0"/>
          <w:i w:val="0"/>
          <w:sz w:val="26"/>
        </w:rPr>
        <w:t>src/lib/quant/indicators.ts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Backtesting engine and strategy families: </w:t>
      </w:r>
      <w:r>
        <w:rPr>
          <w:rFonts w:ascii="Times New Roman" w:hAnsi="Times New Roman" w:eastAsia="Times New Roman"/>
          <w:b w:val="0"/>
          <w:i w:val="0"/>
          <w:sz w:val="26"/>
        </w:rPr>
        <w:t>src/lib/quant/backtest.ts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Risk metrics: </w:t>
      </w:r>
      <w:r>
        <w:rPr>
          <w:rFonts w:ascii="Times New Roman" w:hAnsi="Times New Roman" w:eastAsia="Times New Roman"/>
          <w:b w:val="0"/>
          <w:i w:val="0"/>
          <w:sz w:val="26"/>
        </w:rPr>
        <w:t>src/lib/quant/risk.ts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Portfolio optimisation helpers: </w:t>
      </w:r>
      <w:r>
        <w:rPr>
          <w:rFonts w:ascii="Times New Roman" w:hAnsi="Times New Roman" w:eastAsia="Times New Roman"/>
          <w:b w:val="0"/>
          <w:i w:val="0"/>
          <w:sz w:val="26"/>
        </w:rPr>
        <w:t>src/lib/quant/portfolio.ts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Factor analytics: </w:t>
      </w:r>
      <w:r>
        <w:rPr>
          <w:rFonts w:ascii="Times New Roman" w:hAnsi="Times New Roman" w:eastAsia="Times New Roman"/>
          <w:b w:val="0"/>
          <w:i w:val="0"/>
          <w:sz w:val="26"/>
        </w:rPr>
        <w:t>src/lib/quant/factors.ts</w:t>
      </w:r>
    </w:p>
    <w:p>
      <w:pPr>
        <w:spacing w:before="240" w:after="120" w:line="360" w:lineRule="auto"/>
        <w:jc w:val="left"/>
      </w:pPr>
      <w:r>
        <w:rPr>
          <w:rFonts w:ascii="Times New Roman" w:hAnsi="Times New Roman" w:eastAsia="Times New Roman"/>
          <w:b/>
          <w:i w:val="0"/>
          <w:color w:val="000000"/>
          <w:sz w:val="28"/>
        </w:rPr>
        <w:t>A.4 Data Layer (Runtime Contract)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Data loading and caching (CSV/DuckDB) + quality reports: </w:t>
      </w:r>
      <w:r>
        <w:rPr>
          <w:rFonts w:ascii="Times New Roman" w:hAnsi="Times New Roman" w:eastAsia="Times New Roman"/>
          <w:b w:val="0"/>
          <w:i w:val="0"/>
          <w:sz w:val="26"/>
        </w:rPr>
        <w:t>src/lib/data.ts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Backend selection and strictness policy (CSV vs DuckDB): </w:t>
      </w:r>
      <w:r>
        <w:rPr>
          <w:rFonts w:ascii="Times New Roman" w:hAnsi="Times New Roman" w:eastAsia="Times New Roman"/>
          <w:b w:val="0"/>
          <w:i w:val="0"/>
          <w:sz w:val="26"/>
        </w:rPr>
        <w:t>src/lib/dataBackend.ts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Runtime data manifest loading and row-count gates: </w:t>
      </w:r>
      <w:r>
        <w:rPr>
          <w:rFonts w:ascii="Times New Roman" w:hAnsi="Times New Roman" w:eastAsia="Times New Roman"/>
          <w:b w:val="0"/>
          <w:i w:val="0"/>
          <w:sz w:val="26"/>
        </w:rPr>
        <w:t>src/lib/dataManifest.ts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Exclusion/eligibility policies used across endpoints: </w:t>
      </w:r>
      <w:r>
        <w:rPr>
          <w:rFonts w:ascii="Times New Roman" w:hAnsi="Times New Roman" w:eastAsia="Times New Roman"/>
          <w:b w:val="0"/>
          <w:i w:val="0"/>
          <w:sz w:val="26"/>
        </w:rPr>
        <w:t>src/lib/dataPolicy.ts</w:t>
      </w:r>
    </w:p>
    <w:p>
      <w:pPr>
        <w:spacing w:before="240" w:after="120" w:line="360" w:lineRule="auto"/>
        <w:jc w:val="left"/>
      </w:pPr>
      <w:r>
        <w:rPr>
          <w:rFonts w:ascii="Times New Roman" w:hAnsi="Times New Roman" w:eastAsia="Times New Roman"/>
          <w:b/>
          <w:i w:val="0"/>
          <w:color w:val="000000"/>
          <w:sz w:val="28"/>
        </w:rPr>
        <w:t>A.5 Assistant Layer (Grounded Orchestration)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Query planning: </w:t>
      </w:r>
      <w:r>
        <w:rPr>
          <w:rFonts w:ascii="Times New Roman" w:hAnsi="Times New Roman" w:eastAsia="Times New Roman"/>
          <w:b w:val="0"/>
          <w:i w:val="0"/>
          <w:sz w:val="26"/>
        </w:rPr>
        <w:t>src/lib/assistant/planner.ts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Grounding tools (internal endpoint calls) and citations: </w:t>
      </w:r>
      <w:r>
        <w:rPr>
          <w:rFonts w:ascii="Times New Roman" w:hAnsi="Times New Roman" w:eastAsia="Times New Roman"/>
          <w:b w:val="0"/>
          <w:i w:val="0"/>
          <w:sz w:val="26"/>
        </w:rPr>
        <w:t>src/lib/assistant/tools.ts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src/lib/assistant/toolRegistry.ts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Policy gating and abstention logic: </w:t>
      </w:r>
      <w:r>
        <w:rPr>
          <w:rFonts w:ascii="Times New Roman" w:hAnsi="Times New Roman" w:eastAsia="Times New Roman"/>
          <w:b w:val="0"/>
          <w:i w:val="0"/>
          <w:sz w:val="26"/>
        </w:rPr>
        <w:t>src/lib/assistant/policy.ts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Provider routing and fallback: </w:t>
      </w:r>
      <w:r>
        <w:rPr>
          <w:rFonts w:ascii="Times New Roman" w:hAnsi="Times New Roman" w:eastAsia="Times New Roman"/>
          <w:b w:val="0"/>
          <w:i w:val="0"/>
          <w:sz w:val="26"/>
        </w:rPr>
        <w:t>src/lib/assistant/providers.ts</w:t>
      </w:r>
    </w:p>
    <w:p>
      <w:pPr>
        <w:spacing w:before="240" w:after="120" w:line="360" w:lineRule="auto"/>
        <w:jc w:val="left"/>
      </w:pPr>
      <w:r>
        <w:rPr>
          <w:rFonts w:ascii="Times New Roman" w:hAnsi="Times New Roman" w:eastAsia="Times New Roman"/>
          <w:b/>
          <w:i w:val="0"/>
          <w:color w:val="000000"/>
          <w:sz w:val="28"/>
        </w:rPr>
        <w:t>A.6 Operational Controls and Evaluation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Request IDs and API latency tracking: </w:t>
      </w:r>
      <w:r>
        <w:rPr>
          <w:rFonts w:ascii="Times New Roman" w:hAnsi="Times New Roman" w:eastAsia="Times New Roman"/>
          <w:b w:val="0"/>
          <w:i w:val="0"/>
          <w:sz w:val="26"/>
        </w:rPr>
        <w:t>src/middleware.ts</w:t>
      </w:r>
      <w:r>
        <w:rPr>
          <w:rFonts w:ascii="Times New Roman" w:hAnsi="Times New Roman" w:eastAsia="Times New Roman"/>
          <w:b w:val="0"/>
          <w:i w:val="0"/>
          <w:sz w:val="26"/>
        </w:rPr>
        <w:t xml:space="preserve">, </w:t>
      </w:r>
      <w:r>
        <w:rPr>
          <w:rFonts w:ascii="Times New Roman" w:hAnsi="Times New Roman" w:eastAsia="Times New Roman"/>
          <w:b w:val="0"/>
          <w:i w:val="0"/>
          <w:sz w:val="26"/>
        </w:rPr>
        <w:t>src/lib/monitoring/performance.ts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Rate limiting utilities: </w:t>
      </w:r>
      <w:r>
        <w:rPr>
          <w:rFonts w:ascii="Times New Roman" w:hAnsi="Times New Roman" w:eastAsia="Times New Roman"/>
          <w:b w:val="0"/>
          <w:i w:val="0"/>
          <w:sz w:val="26"/>
        </w:rPr>
        <w:t>src/lib/rateLimit.ts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Assistant evaluation suites and artifact outputs: </w:t>
      </w:r>
      <w:r>
        <w:rPr>
          <w:rFonts w:ascii="Times New Roman" w:hAnsi="Times New Roman" w:eastAsia="Times New Roman"/>
          <w:b w:val="0"/>
          <w:i w:val="0"/>
          <w:sz w:val="26"/>
        </w:rPr>
        <w:t>scripts/eval-assistant*.mjs</w:t>
      </w:r>
      <w:r>
        <w:rPr>
          <w:rFonts w:ascii="Times New Roman" w:hAnsi="Times New Roman" w:eastAsia="Times New Roman"/>
          <w:b w:val="0"/>
          <w:i w:val="0"/>
          <w:sz w:val="26"/>
        </w:rPr>
        <w:t xml:space="preserve">, </w:t>
      </w:r>
      <w:r>
        <w:rPr>
          <w:rFonts w:ascii="Times New Roman" w:hAnsi="Times New Roman" w:eastAsia="Times New Roman"/>
          <w:b w:val="0"/>
          <w:i w:val="0"/>
          <w:sz w:val="26"/>
        </w:rPr>
        <w:t>docs/ASSISTANT_EVAL_CRITERIA.md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Thesis acceptance gates overview: </w:t>
      </w:r>
      <w:r>
        <w:rPr>
          <w:rFonts w:ascii="Times New Roman" w:hAnsi="Times New Roman" w:eastAsia="Times New Roman"/>
          <w:b w:val="0"/>
          <w:i w:val="0"/>
          <w:sz w:val="26"/>
        </w:rPr>
        <w:t>docs/thesis/EVALUATION_GATES.md</w:t>
      </w:r>
    </w:p>
    <w:p>
      <w:pPr>
        <w:spacing w:before="240" w:after="120" w:line="360" w:lineRule="auto"/>
        <w:jc w:val="left"/>
      </w:pPr>
      <w:r>
        <w:rPr>
          <w:rFonts w:ascii="Times New Roman" w:hAnsi="Times New Roman" w:eastAsia="Times New Roman"/>
          <w:b/>
          <w:i w:val="0"/>
          <w:color w:val="000000"/>
          <w:sz w:val="28"/>
        </w:rPr>
        <w:t>A.7 Data Preparation (Offline -&gt; Runtime)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Runtime dataset preparation pipeline: </w:t>
      </w:r>
      <w:r>
        <w:rPr>
          <w:rFonts w:ascii="Times New Roman" w:hAnsi="Times New Roman" w:eastAsia="Times New Roman"/>
          <w:b w:val="0"/>
          <w:i w:val="0"/>
          <w:sz w:val="26"/>
        </w:rPr>
        <w:t>scripts/prepare_data_2018_2025.mjs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Optional DuckDB export: </w:t>
      </w:r>
      <w:r>
        <w:rPr>
          <w:rFonts w:ascii="Times New Roman" w:hAnsi="Times New Roman" w:eastAsia="Times New Roman"/>
          <w:b w:val="0"/>
          <w:i w:val="0"/>
          <w:sz w:val="26"/>
        </w:rPr>
        <w:t>scripts/export_duckdb_from_runtime.mjs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 xml:space="preserve">Runtime datasets and manifest: </w:t>
      </w:r>
      <w:r>
        <w:rPr>
          <w:rFonts w:ascii="Times New Roman" w:hAnsi="Times New Roman" w:eastAsia="Times New Roman"/>
          <w:b w:val="0"/>
          <w:i w:val="0"/>
          <w:sz w:val="26"/>
        </w:rPr>
        <w:t>public/data/*</w:t>
      </w:r>
    </w:p>
    <w:p>
      <w:r>
        <w:br w:type="page"/>
      </w:r>
    </w:p>
    <w:p>
      <w:pPr>
        <w:spacing w:before="360" w:after="120" w:line="360" w:lineRule="auto"/>
        <w:jc w:val="left"/>
      </w:pPr>
      <w:r>
        <w:rPr>
          <w:rFonts w:ascii="Times New Roman" w:hAnsi="Times New Roman" w:eastAsia="Times New Roman"/>
          <w:b/>
          <w:i w:val="0"/>
          <w:color w:val="000000"/>
          <w:sz w:val="32"/>
        </w:rPr>
        <w:t>Appendix B: Evaluation Metrics and Default Thresholds</w:t>
      </w:r>
    </w:p>
    <w:p>
      <w:pPr>
        <w:spacing w:after="120" w:before="0" w:line="360" w:lineRule="auto"/>
        <w:ind w:firstLine="720"/>
        <w:jc w:val="both"/>
      </w:pPr>
      <w:r>
        <w:rPr>
          <w:rFonts w:ascii="Times New Roman" w:hAnsi="Times New Roman" w:eastAsia="Times New Roman"/>
          <w:b w:val="0"/>
          <w:i w:val="0"/>
          <w:sz w:val="26"/>
        </w:rPr>
        <w:t>This appendix records the default numerical thresholds used by the evaluation gates described in Chapter 3. Threshold values are treated as operational configuration: they may be tuned as the product evolves, but thesis reporting should always state the exact threshold profile used for any reported run to preserve interpretability and auditability.</w:t>
      </w:r>
    </w:p>
    <w:p>
      <w:pPr>
        <w:spacing w:after="120" w:before="0" w:line="360" w:lineRule="auto"/>
        <w:ind w:firstLine="720"/>
        <w:jc w:val="both"/>
      </w:pPr>
      <w:r>
        <w:rPr>
          <w:rFonts w:ascii="Times New Roman" w:hAnsi="Times New Roman" w:eastAsia="Times New Roman"/>
          <w:b w:val="0"/>
          <w:i w:val="0"/>
          <w:sz w:val="26"/>
        </w:rPr>
        <w:t>Table B.1: Core evaluation metrics and default thresholds (full-profile).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fill="D9E2F3" w:val="clear"/>
          </w:tcPr>
          <w:p>
            <w:pPr>
              <w:jc w:val="center"/>
            </w:pPr>
            <w:r/>
            <w:r>
              <w:rPr>
                <w:rFonts w:ascii="Times New Roman" w:hAnsi="Times New Roman" w:eastAsia="Times New Roman"/>
                <w:b/>
                <w:i w:val="0"/>
                <w:sz w:val="22"/>
              </w:rPr>
              <w:t>Metric</w:t>
            </w:r>
          </w:p>
        </w:tc>
        <w:tc>
          <w:tcPr>
            <w:tcW w:type="dxa" w:w="3024"/>
            <w:shd w:fill="D9E2F3" w:val="clear"/>
          </w:tcPr>
          <w:p>
            <w:pPr>
              <w:jc w:val="center"/>
            </w:pPr>
            <w:r/>
            <w:r>
              <w:rPr>
                <w:rFonts w:ascii="Times New Roman" w:hAnsi="Times New Roman" w:eastAsia="Times New Roman"/>
                <w:b/>
                <w:i w:val="0"/>
                <w:sz w:val="22"/>
              </w:rPr>
              <w:t>Operational definition</w:t>
            </w:r>
          </w:p>
        </w:tc>
        <w:tc>
          <w:tcPr>
            <w:tcW w:type="dxa" w:w="3024"/>
            <w:shd w:fill="D9E2F3" w:val="clear"/>
          </w:tcPr>
          <w:p>
            <w:pPr>
              <w:jc w:val="center"/>
            </w:pPr>
            <w:r/>
            <w:r>
              <w:rPr>
                <w:rFonts w:ascii="Times New Roman" w:hAnsi="Times New Roman" w:eastAsia="Times New Roman"/>
                <w:b/>
                <w:i w:val="0"/>
                <w:sz w:val="22"/>
              </w:rPr>
              <w:t>Default threshold</w:t>
            </w:r>
          </w:p>
        </w:tc>
      </w:tr>
      <w:tr>
        <w:tc>
          <w:tcPr>
            <w:tcW w:type="dxa" w:w="3024"/>
          </w:tcPr>
          <w:p>
            <w:pPr>
              <w:jc w:val="left"/>
            </w:pPr>
            <w:r/>
            <w:r>
              <w:rPr>
                <w:rFonts w:ascii="Times New Roman" w:hAnsi="Times New Roman" w:eastAsia="Times New Roman"/>
                <w:b w:val="0"/>
                <w:i w:val="0"/>
                <w:sz w:val="22"/>
              </w:rPr>
              <w:t>Unsupported claim rate</w:t>
            </w:r>
          </w:p>
        </w:tc>
        <w:tc>
          <w:tcPr>
            <w:tcW w:type="dxa" w:w="3024"/>
          </w:tcPr>
          <w:p>
            <w:pPr>
              <w:jc w:val="left"/>
            </w:pPr>
            <w:r/>
            <w:r>
              <w:rPr>
                <w:rFonts w:ascii="Times New Roman" w:hAnsi="Times New Roman" w:eastAsia="Times New Roman"/>
                <w:b w:val="0"/>
                <w:i w:val="0"/>
                <w:sz w:val="22"/>
              </w:rPr>
              <w:t>Proportion of atomic claims lacking supporting tool evidence</w:t>
            </w:r>
          </w:p>
        </w:tc>
        <w:tc>
          <w:tcPr>
            <w:tcW w:type="dxa" w:w="3024"/>
          </w:tcPr>
          <w:p>
            <w:pPr>
              <w:jc w:val="left"/>
            </w:pPr>
            <w:r/>
            <w:r>
              <w:rPr>
                <w:rFonts w:ascii="Times New Roman" w:hAnsi="Times New Roman" w:eastAsia="Times New Roman"/>
                <w:b w:val="0"/>
                <w:i w:val="0"/>
                <w:sz w:val="22"/>
              </w:rPr>
              <w:t>&lt;= 0.10</w:t>
            </w:r>
          </w:p>
        </w:tc>
      </w:tr>
      <w:tr>
        <w:tc>
          <w:tcPr>
            <w:tcW w:type="dxa" w:w="3024"/>
          </w:tcPr>
          <w:p>
            <w:pPr>
              <w:jc w:val="left"/>
            </w:pPr>
            <w:r/>
            <w:r>
              <w:rPr>
                <w:rFonts w:ascii="Times New Roman" w:hAnsi="Times New Roman" w:eastAsia="Times New Roman"/>
                <w:b w:val="0"/>
                <w:i w:val="0"/>
                <w:sz w:val="22"/>
              </w:rPr>
              <w:t>Supported-claim precision</w:t>
            </w:r>
          </w:p>
        </w:tc>
        <w:tc>
          <w:tcPr>
            <w:tcW w:type="dxa" w:w="3024"/>
          </w:tcPr>
          <w:p>
            <w:pPr>
              <w:jc w:val="left"/>
            </w:pPr>
            <w:r/>
            <w:r>
              <w:rPr>
                <w:rFonts w:ascii="Times New Roman" w:hAnsi="Times New Roman" w:eastAsia="Times New Roman"/>
                <w:b w:val="0"/>
                <w:i w:val="0"/>
                <w:sz w:val="22"/>
              </w:rPr>
              <w:t>Accuracy rate among claims that are supported by evidence</w:t>
            </w:r>
          </w:p>
        </w:tc>
        <w:tc>
          <w:tcPr>
            <w:tcW w:type="dxa" w:w="3024"/>
          </w:tcPr>
          <w:p>
            <w:pPr>
              <w:jc w:val="left"/>
            </w:pPr>
            <w:r/>
            <w:r>
              <w:rPr>
                <w:rFonts w:ascii="Times New Roman" w:hAnsi="Times New Roman" w:eastAsia="Times New Roman"/>
                <w:b w:val="0"/>
                <w:i w:val="0"/>
                <w:sz w:val="22"/>
              </w:rPr>
              <w:t>&gt;= 0.85</w:t>
            </w:r>
          </w:p>
        </w:tc>
      </w:tr>
      <w:tr>
        <w:tc>
          <w:tcPr>
            <w:tcW w:type="dxa" w:w="3024"/>
          </w:tcPr>
          <w:p>
            <w:pPr>
              <w:jc w:val="left"/>
            </w:pPr>
            <w:r/>
            <w:r>
              <w:rPr>
                <w:rFonts w:ascii="Times New Roman" w:hAnsi="Times New Roman" w:eastAsia="Times New Roman"/>
                <w:b w:val="0"/>
                <w:i w:val="0"/>
                <w:sz w:val="22"/>
              </w:rPr>
              <w:t>Overall claim accuracy</w:t>
            </w:r>
          </w:p>
        </w:tc>
        <w:tc>
          <w:tcPr>
            <w:tcW w:type="dxa" w:w="3024"/>
          </w:tcPr>
          <w:p>
            <w:pPr>
              <w:jc w:val="left"/>
            </w:pPr>
            <w:r/>
            <w:r>
              <w:rPr>
                <w:rFonts w:ascii="Times New Roman" w:hAnsi="Times New Roman" w:eastAsia="Times New Roman"/>
                <w:b w:val="0"/>
                <w:i w:val="0"/>
                <w:sz w:val="22"/>
              </w:rPr>
              <w:t>Accuracy rate across all extracted claims</w:t>
            </w:r>
          </w:p>
        </w:tc>
        <w:tc>
          <w:tcPr>
            <w:tcW w:type="dxa" w:w="3024"/>
          </w:tcPr>
          <w:p>
            <w:pPr>
              <w:jc w:val="left"/>
            </w:pPr>
            <w:r/>
            <w:r>
              <w:rPr>
                <w:rFonts w:ascii="Times New Roman" w:hAnsi="Times New Roman" w:eastAsia="Times New Roman"/>
                <w:b w:val="0"/>
                <w:i w:val="0"/>
                <w:sz w:val="22"/>
              </w:rPr>
              <w:t>&gt;= 0.75</w:t>
            </w:r>
          </w:p>
        </w:tc>
      </w:tr>
      <w:tr>
        <w:tc>
          <w:tcPr>
            <w:tcW w:type="dxa" w:w="3024"/>
          </w:tcPr>
          <w:p>
            <w:pPr>
              <w:jc w:val="left"/>
            </w:pPr>
            <w:r/>
            <w:r>
              <w:rPr>
                <w:rFonts w:ascii="Times New Roman" w:hAnsi="Times New Roman" w:eastAsia="Times New Roman"/>
                <w:b w:val="0"/>
                <w:i w:val="0"/>
                <w:sz w:val="22"/>
              </w:rPr>
              <w:t>Abstention accuracy</w:t>
            </w:r>
          </w:p>
        </w:tc>
        <w:tc>
          <w:tcPr>
            <w:tcW w:type="dxa" w:w="3024"/>
          </w:tcPr>
          <w:p>
            <w:pPr>
              <w:jc w:val="left"/>
            </w:pPr>
            <w:r/>
            <w:r>
              <w:rPr>
                <w:rFonts w:ascii="Times New Roman" w:hAnsi="Times New Roman" w:eastAsia="Times New Roman"/>
                <w:b w:val="0"/>
                <w:i w:val="0"/>
                <w:sz w:val="22"/>
              </w:rPr>
              <w:t>Correctness of abstention decisions under insufficient evidence</w:t>
            </w:r>
          </w:p>
        </w:tc>
        <w:tc>
          <w:tcPr>
            <w:tcW w:type="dxa" w:w="3024"/>
          </w:tcPr>
          <w:p>
            <w:pPr>
              <w:jc w:val="left"/>
            </w:pPr>
            <w:r/>
            <w:r>
              <w:rPr>
                <w:rFonts w:ascii="Times New Roman" w:hAnsi="Times New Roman" w:eastAsia="Times New Roman"/>
                <w:b w:val="0"/>
                <w:i w:val="0"/>
                <w:sz w:val="22"/>
              </w:rPr>
              <w:t>&gt;= 0.90</w:t>
            </w:r>
          </w:p>
        </w:tc>
      </w:tr>
      <w:tr>
        <w:tc>
          <w:tcPr>
            <w:tcW w:type="dxa" w:w="3024"/>
          </w:tcPr>
          <w:p>
            <w:pPr>
              <w:jc w:val="left"/>
            </w:pPr>
            <w:r/>
            <w:r>
              <w:rPr>
                <w:rFonts w:ascii="Times New Roman" w:hAnsi="Times New Roman" w:eastAsia="Times New Roman"/>
                <w:b w:val="0"/>
                <w:i w:val="0"/>
                <w:sz w:val="22"/>
              </w:rPr>
              <w:t>Grounding pass rate</w:t>
            </w:r>
          </w:p>
        </w:tc>
        <w:tc>
          <w:tcPr>
            <w:tcW w:type="dxa" w:w="3024"/>
          </w:tcPr>
          <w:p>
            <w:pPr>
              <w:jc w:val="left"/>
            </w:pPr>
            <w:r/>
            <w:r>
              <w:rPr>
                <w:rFonts w:ascii="Times New Roman" w:hAnsi="Times New Roman" w:eastAsia="Times New Roman"/>
                <w:b w:val="0"/>
                <w:i w:val="0"/>
                <w:sz w:val="22"/>
              </w:rPr>
              <w:t>Proportion of turns satisfying grounding and citation requirements</w:t>
            </w:r>
          </w:p>
        </w:tc>
        <w:tc>
          <w:tcPr>
            <w:tcW w:type="dxa" w:w="3024"/>
          </w:tcPr>
          <w:p>
            <w:pPr>
              <w:jc w:val="left"/>
            </w:pPr>
            <w:r/>
            <w:r>
              <w:rPr>
                <w:rFonts w:ascii="Times New Roman" w:hAnsi="Times New Roman" w:eastAsia="Times New Roman"/>
                <w:b w:val="0"/>
                <w:i w:val="0"/>
                <w:sz w:val="22"/>
              </w:rPr>
              <w:t>&gt;= 0.85</w:t>
            </w:r>
          </w:p>
        </w:tc>
      </w:tr>
      <w:tr>
        <w:tc>
          <w:tcPr>
            <w:tcW w:type="dxa" w:w="3024"/>
          </w:tcPr>
          <w:p>
            <w:pPr>
              <w:jc w:val="left"/>
            </w:pPr>
            <w:r/>
            <w:r>
              <w:rPr>
                <w:rFonts w:ascii="Times New Roman" w:hAnsi="Times New Roman" w:eastAsia="Times New Roman"/>
                <w:b w:val="0"/>
                <w:i w:val="0"/>
                <w:sz w:val="22"/>
              </w:rPr>
              <w:t>Backtest coverage</w:t>
            </w:r>
          </w:p>
        </w:tc>
        <w:tc>
          <w:tcPr>
            <w:tcW w:type="dxa" w:w="3024"/>
          </w:tcPr>
          <w:p>
            <w:pPr>
              <w:jc w:val="left"/>
            </w:pPr>
            <w:r/>
            <w:r>
              <w:rPr>
                <w:rFonts w:ascii="Times New Roman" w:hAnsi="Times New Roman" w:eastAsia="Times New Roman"/>
                <w:b w:val="0"/>
                <w:i w:val="0"/>
                <w:sz w:val="22"/>
              </w:rPr>
              <w:t>Coverage of the effective symbol universe for backtest-style intents</w:t>
            </w:r>
          </w:p>
        </w:tc>
        <w:tc>
          <w:tcPr>
            <w:tcW w:type="dxa" w:w="3024"/>
          </w:tcPr>
          <w:p>
            <w:pPr>
              <w:jc w:val="left"/>
            </w:pPr>
            <w:r/>
            <w:r>
              <w:rPr>
                <w:rFonts w:ascii="Times New Roman" w:hAnsi="Times New Roman" w:eastAsia="Times New Roman"/>
                <w:b w:val="0"/>
                <w:i w:val="0"/>
                <w:sz w:val="22"/>
              </w:rPr>
              <w:t>&gt;= 0.98</w:t>
            </w:r>
          </w:p>
        </w:tc>
      </w:tr>
      <w:tr>
        <w:tc>
          <w:tcPr>
            <w:tcW w:type="dxa" w:w="3024"/>
          </w:tcPr>
          <w:p>
            <w:pPr>
              <w:jc w:val="left"/>
            </w:pPr>
            <w:r/>
            <w:r>
              <w:rPr>
                <w:rFonts w:ascii="Times New Roman" w:hAnsi="Times New Roman" w:eastAsia="Times New Roman"/>
                <w:b w:val="0"/>
                <w:i w:val="0"/>
                <w:sz w:val="22"/>
              </w:rPr>
              <w:t>Strata coverage</w:t>
            </w:r>
          </w:p>
        </w:tc>
        <w:tc>
          <w:tcPr>
            <w:tcW w:type="dxa" w:w="3024"/>
          </w:tcPr>
          <w:p>
            <w:pPr>
              <w:jc w:val="left"/>
            </w:pPr>
            <w:r/>
            <w:r>
              <w:rPr>
                <w:rFonts w:ascii="Times New Roman" w:hAnsi="Times New Roman" w:eastAsia="Times New Roman"/>
                <w:b w:val="0"/>
                <w:i w:val="0"/>
                <w:sz w:val="22"/>
              </w:rPr>
              <w:t>Coverage across predefined scenario strata (to avoid cherry-picking)</w:t>
            </w:r>
          </w:p>
        </w:tc>
        <w:tc>
          <w:tcPr>
            <w:tcW w:type="dxa" w:w="3024"/>
          </w:tcPr>
          <w:p>
            <w:pPr>
              <w:jc w:val="left"/>
            </w:pPr>
            <w:r/>
            <w:r>
              <w:rPr>
                <w:rFonts w:ascii="Times New Roman" w:hAnsi="Times New Roman" w:eastAsia="Times New Roman"/>
                <w:b w:val="0"/>
                <w:i w:val="0"/>
                <w:sz w:val="22"/>
              </w:rPr>
              <w:t>&gt;= 0.82</w:t>
            </w:r>
          </w:p>
        </w:tc>
      </w:tr>
      <w:tr>
        <w:tc>
          <w:tcPr>
            <w:tcW w:type="dxa" w:w="3024"/>
          </w:tcPr>
          <w:p>
            <w:pPr>
              <w:jc w:val="left"/>
            </w:pPr>
            <w:r/>
            <w:r>
              <w:rPr>
                <w:rFonts w:ascii="Times New Roman" w:hAnsi="Times New Roman" w:eastAsia="Times New Roman"/>
                <w:b w:val="0"/>
                <w:i w:val="0"/>
                <w:sz w:val="22"/>
              </w:rPr>
              <w:t>Numeric symbol pass rate</w:t>
            </w:r>
          </w:p>
        </w:tc>
        <w:tc>
          <w:tcPr>
            <w:tcW w:type="dxa" w:w="3024"/>
          </w:tcPr>
          <w:p>
            <w:pPr>
              <w:jc w:val="left"/>
            </w:pPr>
            <w:r/>
            <w:r>
              <w:rPr>
                <w:rFonts w:ascii="Times New Roman" w:hAnsi="Times New Roman" w:eastAsia="Times New Roman"/>
                <w:b w:val="0"/>
                <w:i w:val="0"/>
                <w:sz w:val="22"/>
              </w:rPr>
              <w:t>Symbol-level pass rate for numeric-fidelity checks</w:t>
            </w:r>
          </w:p>
        </w:tc>
        <w:tc>
          <w:tcPr>
            <w:tcW w:type="dxa" w:w="3024"/>
          </w:tcPr>
          <w:p>
            <w:pPr>
              <w:jc w:val="left"/>
            </w:pPr>
            <w:r/>
            <w:r>
              <w:rPr>
                <w:rFonts w:ascii="Times New Roman" w:hAnsi="Times New Roman" w:eastAsia="Times New Roman"/>
                <w:b w:val="0"/>
                <w:i w:val="0"/>
                <w:sz w:val="22"/>
              </w:rPr>
              <w:t>&gt;= 0.80</w:t>
            </w:r>
          </w:p>
        </w:tc>
      </w:tr>
      <w:tr>
        <w:tc>
          <w:tcPr>
            <w:tcW w:type="dxa" w:w="3024"/>
          </w:tcPr>
          <w:p>
            <w:pPr>
              <w:jc w:val="left"/>
            </w:pPr>
            <w:r/>
            <w:r>
              <w:rPr>
                <w:rFonts w:ascii="Times New Roman" w:hAnsi="Times New Roman" w:eastAsia="Times New Roman"/>
                <w:b w:val="0"/>
                <w:i w:val="0"/>
                <w:sz w:val="22"/>
              </w:rPr>
              <w:t>Deception resistance rate</w:t>
            </w:r>
          </w:p>
        </w:tc>
        <w:tc>
          <w:tcPr>
            <w:tcW w:type="dxa" w:w="3024"/>
          </w:tcPr>
          <w:p>
            <w:pPr>
              <w:jc w:val="left"/>
            </w:pPr>
            <w:r/>
            <w:r>
              <w:rPr>
                <w:rFonts w:ascii="Times New Roman" w:hAnsi="Times New Roman" w:eastAsia="Times New Roman"/>
                <w:b w:val="0"/>
                <w:i w:val="0"/>
                <w:sz w:val="22"/>
              </w:rPr>
              <w:t>Pass rate under adversarial or deceptive prompts (when enforced)</w:t>
            </w:r>
          </w:p>
        </w:tc>
        <w:tc>
          <w:tcPr>
            <w:tcW w:type="dxa" w:w="3024"/>
          </w:tcPr>
          <w:p>
            <w:pPr>
              <w:jc w:val="left"/>
            </w:pPr>
            <w:r/>
            <w:r>
              <w:rPr>
                <w:rFonts w:ascii="Times New Roman" w:hAnsi="Times New Roman" w:eastAsia="Times New Roman"/>
                <w:b w:val="0"/>
                <w:i w:val="0"/>
                <w:sz w:val="22"/>
              </w:rPr>
              <w:t>&gt;= 0.90 (otherwise diagnostic)</w:t>
            </w:r>
          </w:p>
        </w:tc>
      </w:tr>
    </w:tbl>
    <w:p>
      <w:pPr>
        <w:spacing w:after="120" w:before="0" w:line="360" w:lineRule="auto"/>
      </w:pPr>
    </w:p>
    <w:p>
      <w:r>
        <w:br w:type="page"/>
      </w:r>
    </w:p>
    <w:sectPr w:rsidR="00500345" w:rsidSect="00C56DBF">
      <w:pgSz w:w="11906" w:h="16838" w:code="9"/>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