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BANKNIG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BANKNIG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An Accessible Quantitative Analysis Platform for Trading Strategy Design and </w:t>
      </w:r>
      <w:proofErr w:type="spellStart"/>
      <w:r>
        <w:rPr>
          <w:rFonts w:eastAsia="Times New Roman"/>
          <w:b/>
          <w:sz w:val="32"/>
        </w:rPr>
        <w:t>Backtesting</w:t>
      </w:r>
      <w:proofErr w:type="spellEnd"/>
      <w:r>
        <w:rPr>
          <w:rFonts w:eastAsia="Times New Roman"/>
          <w:b/>
          <w:sz w:val="32"/>
        </w:rPr>
        <w:t xml:space="preserve">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w:t>
      </w:r>
      <w:proofErr w:type="spellStart"/>
      <w:proofErr w:type="gramStart"/>
      <w:r>
        <w:rPr>
          <w:rFonts w:eastAsia="Times New Roman"/>
          <w:i/>
        </w:rPr>
        <w:t>City</w:t>
      </w:r>
      <w:r w:rsidR="00C8033C">
        <w:rPr>
          <w:rFonts w:eastAsia="Times New Roman"/>
          <w:i/>
        </w:rPr>
        <w:t>,February</w:t>
      </w:r>
      <w:proofErr w:type="spellEnd"/>
      <w:proofErr w:type="gramEnd"/>
      <w:r w:rsidR="00C8033C">
        <w:rPr>
          <w:rFonts w:eastAsia="Times New Roman"/>
          <w:i/>
        </w:rPr>
        <w:t xml:space="preserve"> </w:t>
      </w:r>
      <w:r>
        <w:rPr>
          <w:rFonts w:eastAsia="Times New Roman"/>
          <w:i/>
        </w:rPr>
        <w:t>2026</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thesis designs, implements, and evaluates </w:t>
      </w:r>
      <w:proofErr w:type="spellStart"/>
      <w:r>
        <w:rPr>
          <w:rFonts w:eastAsia="Times New Roman"/>
        </w:rPr>
        <w:t>QuantVN</w:t>
      </w:r>
      <w:proofErr w:type="spellEnd"/>
      <w:r>
        <w:rPr>
          <w:rFonts w:eastAsia="Times New Roman"/>
        </w:rPr>
        <w:t xml:space="preserve"> Strategy Forge, a web-based quantitative analysis platform for Vietnamese equities listed on the Ho Chi Minh Stock Exchange (HOSE). The platform addresses the gap in accessible quantitative tools for Vietnamese retail investors by integrating stock screening, strategy </w:t>
      </w:r>
      <w:proofErr w:type="spellStart"/>
      <w:r>
        <w:rPr>
          <w:rFonts w:eastAsia="Times New Roman"/>
        </w:rPr>
        <w:t>backtesting</w:t>
      </w:r>
      <w:proofErr w:type="spellEnd"/>
      <w:r>
        <w:rPr>
          <w:rFonts w:eastAsia="Times New Roman"/>
        </w:rPr>
        <w:t xml:space="preserve"> with five strategy types, portfolio </w:t>
      </w:r>
      <w:proofErr w:type="spellStart"/>
      <w:r>
        <w:rPr>
          <w:rFonts w:eastAsia="Times New Roman"/>
        </w:rPr>
        <w:t>optimisation</w:t>
      </w:r>
      <w:proofErr w:type="spellEnd"/>
      <w:r>
        <w:rPr>
          <w:rFonts w:eastAsia="Times New Roman"/>
        </w:rPr>
        <w:t xml:space="preserve"> using four methods (Mean-Variance, Risk Parity, Minimum Variance, Maximum Sharpe), risk management metrics (</w:t>
      </w:r>
      <w:proofErr w:type="spellStart"/>
      <w:r>
        <w:rPr>
          <w:rFonts w:eastAsia="Times New Roman"/>
        </w:rPr>
        <w:t>VaR</w:t>
      </w:r>
      <w:proofErr w:type="spellEnd"/>
      <w:r>
        <w:rPr>
          <w:rFonts w:eastAsia="Times New Roman"/>
        </w:rPr>
        <w:t>, CVaR, drawdown), factor analysis, and an AI assistant grounded in the platform's own computations. The system covers approximately 500 HOSE-listed stocks with daily data from 2018 to 2025. The AI assistant employs retrieval-augmented generation with policy-gated abstention to prevent unsupported financial claims. Results demonstrate the platform successfully provides integrated quantitative analysis capabilities comparable to international tools while supporting Vietnamese market conventions including transaction costs, daily price limits, and settlement cycles.</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grown rapidly over the past decade. By 2024, trading accounts reached 9.2 </w:t>
      </w:r>
      <w:proofErr w:type="gramStart"/>
      <w:r>
        <w:rPr>
          <w:rFonts w:eastAsia="Times New Roman"/>
        </w:rPr>
        <w:t>million  surpassing</w:t>
      </w:r>
      <w:proofErr w:type="gramEnd"/>
      <w:r>
        <w:rPr>
          <w:rFonts w:eastAsia="Times New Roman"/>
        </w:rPr>
        <w:t xml:space="preserve"> the government's 2025 </w:t>
      </w:r>
      <w:proofErr w:type="gramStart"/>
      <w:r>
        <w:rPr>
          <w:rFonts w:eastAsia="Times New Roman"/>
        </w:rPr>
        <w:t>target  with</w:t>
      </w:r>
      <w:proofErr w:type="gramEnd"/>
      <w:r>
        <w:rPr>
          <w:rFonts w:eastAsia="Times New Roman"/>
        </w:rPr>
        <w:t xml:space="preserve"> retail investors accounting for over 80 per cent of daily trading volume on the Ho Chi Minh Stock Exchange (HOSE) (</w:t>
      </w:r>
      <w:proofErr w:type="spellStart"/>
      <w:r>
        <w:rPr>
          <w:rFonts w:eastAsia="Times New Roman"/>
        </w:rPr>
        <w:t>FiinPro</w:t>
      </w:r>
      <w:proofErr w:type="spellEnd"/>
      <w:r>
        <w:rPr>
          <w:rFonts w:eastAsia="Times New Roman"/>
        </w:rPr>
        <w:t>, 2024). Vietnam's fintech market, valued at approximately USD 16.9 billion in 2024, is projected to reach USD 62.7 billion by 2033, supported by high smartphone penetration (84 per cent) and a digitally engaged population (IMARC Group, 2024).</w:t>
      </w:r>
    </w:p>
    <w:p w14:paraId="06C4629D" w14:textId="66FA6456" w:rsidR="00B678ED" w:rsidRDefault="00000000" w:rsidP="001A7A20">
      <w:pPr>
        <w:spacing w:after="120" w:line="360" w:lineRule="auto"/>
        <w:ind w:firstLine="720"/>
        <w:jc w:val="both"/>
      </w:pPr>
      <w:r>
        <w:rPr>
          <w:rFonts w:eastAsia="Times New Roman"/>
        </w:rPr>
        <w:t xml:space="preserve">Despite this growth, Vietnamese retail investors still lack access to proper quantitative analysis tools. International platforms like </w:t>
      </w:r>
      <w:proofErr w:type="spellStart"/>
      <w:r>
        <w:rPr>
          <w:rFonts w:eastAsia="Times New Roman"/>
        </w:rPr>
        <w:t>TradingView</w:t>
      </w:r>
      <w:proofErr w:type="spellEnd"/>
      <w:r>
        <w:rPr>
          <w:rFonts w:eastAsia="Times New Roman"/>
        </w:rPr>
        <w:t xml:space="preserve"> offer advanced charting but do not fully support HOSE-specific data or Vietnamese market conventions (</w:t>
      </w:r>
      <w:proofErr w:type="spellStart"/>
      <w:r>
        <w:rPr>
          <w:rFonts w:eastAsia="Times New Roman"/>
        </w:rPr>
        <w:t>TradingView</w:t>
      </w:r>
      <w:proofErr w:type="spellEnd"/>
      <w:r>
        <w:rPr>
          <w:rFonts w:eastAsia="Times New Roman"/>
        </w:rPr>
        <w:t xml:space="preserve">, n.d.). None of the major international algorithmic trading platforms support HOSE at all. On the domestic side, brokerage platforms from TCBS, SSI </w:t>
      </w:r>
      <w:proofErr w:type="spellStart"/>
      <w:r>
        <w:rPr>
          <w:rFonts w:eastAsia="Times New Roman"/>
        </w:rPr>
        <w:t>iBoard</w:t>
      </w:r>
      <w:proofErr w:type="spellEnd"/>
      <w:r>
        <w:rPr>
          <w:rFonts w:eastAsia="Times New Roman"/>
        </w:rPr>
        <w:t xml:space="preserve">, and </w:t>
      </w:r>
      <w:proofErr w:type="spellStart"/>
      <w:r>
        <w:rPr>
          <w:rFonts w:eastAsia="Times New Roman"/>
        </w:rPr>
        <w:t>VNDirect</w:t>
      </w:r>
      <w:proofErr w:type="spellEnd"/>
      <w:r>
        <w:rPr>
          <w:rFonts w:eastAsia="Times New Roman"/>
        </w:rPr>
        <w:t xml:space="preserve"> provide charting and order execution, but none of them offer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factor analysis, or risk measurement at the retail level (TCBS, n.d.; SSI, n.d.).</w:t>
      </w:r>
      <w:r w:rsidR="001A7A20">
        <w:t xml:space="preserve"> </w:t>
      </w:r>
      <w:r>
        <w:rPr>
          <w:rFonts w:eastAsia="Times New Roman"/>
        </w:rPr>
        <w:t>In practice, this means that quantitative finance methods now standard in developed markets remain out of reach for most Vietnamese investors. They trade actively, but without systematic tools to rigorously test investment ideas before putting capital at risk.</w:t>
      </w:r>
    </w:p>
    <w:p w14:paraId="3707C839" w14:textId="5D07F9BF" w:rsidR="00B678ED" w:rsidRDefault="00000000">
      <w:pPr>
        <w:spacing w:after="120" w:line="360" w:lineRule="auto"/>
        <w:ind w:firstLine="720"/>
        <w:jc w:val="both"/>
      </w:pPr>
      <w:r>
        <w:rPr>
          <w:rFonts w:eastAsia="Times New Roman"/>
        </w:rPr>
        <w:t>At the same time, large language models (LLMs) offer an opportunity to make quantitative analysis more approachable through conversational AI. The catch is that LLMs tend to hallucinate they can produce fluent but factually wrong outputs (Lin et al., 2022). In finance, this is dangerous: a user might act on fabricated statistics. Retrieval-augmented generation (RAG) reduces this risk by anchoring model responses in retrieved evidence (Lewis et al., 2020), though this only works well when the underlying data is structured and validated.</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thesis designs, implements, and evaluates </w:t>
      </w:r>
      <w:proofErr w:type="spellStart"/>
      <w:r>
        <w:rPr>
          <w:rFonts w:eastAsia="Times New Roman"/>
          <w:b/>
        </w:rPr>
        <w:t>QuantVN</w:t>
      </w:r>
      <w:proofErr w:type="spellEnd"/>
      <w:r>
        <w:rPr>
          <w:rFonts w:eastAsia="Times New Roman"/>
          <w:b/>
        </w:rPr>
        <w:t xml:space="preserve"> Strategy Forge</w:t>
      </w:r>
      <w:r>
        <w:rPr>
          <w:rFonts w:eastAsia="Times New Roman"/>
        </w:rPr>
        <w:t>, a web-based quantitative analysis platform for Vietnamese equities that enables retail investors and finance students to:</w:t>
      </w:r>
    </w:p>
    <w:p w14:paraId="367058E8" w14:textId="77777777" w:rsidR="00B678ED" w:rsidRDefault="00000000">
      <w:pPr>
        <w:spacing w:after="60" w:line="360" w:lineRule="auto"/>
        <w:ind w:left="720"/>
        <w:jc w:val="both"/>
      </w:pPr>
      <w:r>
        <w:rPr>
          <w:rFonts w:eastAsia="Times New Roman"/>
        </w:rPr>
        <w:t>•  Screen stocks using technical indicators and fundamental metrics</w:t>
      </w:r>
    </w:p>
    <w:p w14:paraId="0F0F8A23" w14:textId="77777777" w:rsidR="00B678ED" w:rsidRDefault="00000000">
      <w:pPr>
        <w:spacing w:after="60" w:line="360" w:lineRule="auto"/>
        <w:ind w:left="720"/>
        <w:jc w:val="both"/>
      </w:pPr>
      <w:r>
        <w:rPr>
          <w:rFonts w:eastAsia="Times New Roman"/>
        </w:rPr>
        <w:t xml:space="preserve">•  Design, </w:t>
      </w:r>
      <w:proofErr w:type="spellStart"/>
      <w:r>
        <w:rPr>
          <w:rFonts w:eastAsia="Times New Roman"/>
        </w:rPr>
        <w:t>backtest</w:t>
      </w:r>
      <w:proofErr w:type="spellEnd"/>
      <w:r>
        <w:rPr>
          <w:rFonts w:eastAsia="Times New Roman"/>
        </w:rPr>
        <w:t>, and compare trading strategies with realistic assumptions</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Optimise</w:t>
      </w:r>
      <w:proofErr w:type="spellEnd"/>
      <w:r>
        <w:rPr>
          <w:rFonts w:eastAsia="Times New Roman"/>
        </w:rPr>
        <w:t xml:space="preserve"> portfolios and </w:t>
      </w:r>
      <w:proofErr w:type="spellStart"/>
      <w:r>
        <w:rPr>
          <w:rFonts w:eastAsia="Times New Roman"/>
        </w:rPr>
        <w:t>analyse</w:t>
      </w:r>
      <w:proofErr w:type="spellEnd"/>
      <w:r>
        <w:rPr>
          <w:rFonts w:eastAsia="Times New Roman"/>
        </w:rPr>
        <w:t xml:space="preserve"> risk using established quantitative methods</w:t>
      </w:r>
    </w:p>
    <w:p w14:paraId="5B051FB5" w14:textId="77777777" w:rsidR="00B678ED" w:rsidRDefault="00000000">
      <w:pPr>
        <w:spacing w:after="60" w:line="360" w:lineRule="auto"/>
        <w:ind w:left="720"/>
        <w:jc w:val="both"/>
      </w:pPr>
      <w:r>
        <w:rPr>
          <w:rFonts w:eastAsia="Times New Roman"/>
        </w:rPr>
        <w:t>•  Receive AI-assisted explanations of quantitative results grounded in actual computed evidence</w:t>
      </w:r>
    </w:p>
    <w:p w14:paraId="6E9E41C3" w14:textId="77777777" w:rsidR="00B678ED" w:rsidRDefault="00000000">
      <w:pPr>
        <w:spacing w:after="60" w:line="360" w:lineRule="auto"/>
        <w:ind w:left="720"/>
        <w:jc w:val="both"/>
      </w:pPr>
      <w:r>
        <w:rPr>
          <w:rFonts w:eastAsia="Times New Roman"/>
        </w:rPr>
        <w:t>•  Learn quantitative finance concepts through an integrated educational hub</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Vietnamese equity analysis on HOSE, covering 412 listed stocks with historical data from 2018 to 2025. The scope is decision support and financial education the system does not implement brokerage integration, automated order routing, or real-time execution. The AI assistant requires an external LLM provider; the thesis evaluates the effectiveness of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w:t>
      </w:r>
      <w:r>
        <w:rPr>
          <w:rFonts w:eastAsia="Times New Roman"/>
          <w:b/>
        </w:rPr>
        <w:t>integrated quantitative analysis platform</w:t>
      </w:r>
      <w:r>
        <w:rPr>
          <w:rFonts w:eastAsia="Times New Roman"/>
        </w:rPr>
        <w:t xml:space="preserve"> for Vietnamese </w:t>
      </w:r>
      <w:proofErr w:type="gramStart"/>
      <w:r>
        <w:rPr>
          <w:rFonts w:eastAsia="Times New Roman"/>
        </w:rPr>
        <w:t>equities  covering</w:t>
      </w:r>
      <w:proofErr w:type="gramEnd"/>
      <w:r>
        <w:rPr>
          <w:rFonts w:eastAsia="Times New Roman"/>
        </w:rPr>
        <w:t xml:space="preserve"> stock screening,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risk management, and factor analysis that fills a gap in the Vietnamese fintech landscape</w:t>
      </w:r>
    </w:p>
    <w:p w14:paraId="0D1D3072" w14:textId="77777777" w:rsidR="00B678ED" w:rsidRDefault="00000000">
      <w:pPr>
        <w:spacing w:after="60" w:line="360" w:lineRule="auto"/>
        <w:ind w:left="720"/>
        <w:jc w:val="both"/>
      </w:pPr>
      <w:r>
        <w:rPr>
          <w:rFonts w:eastAsia="Times New Roman"/>
        </w:rPr>
        <w:t xml:space="preserve">2.  An </w:t>
      </w:r>
      <w:r>
        <w:rPr>
          <w:rFonts w:eastAsia="Times New Roman"/>
          <w:b/>
        </w:rPr>
        <w:t>AI assistant with tool-grounding</w:t>
      </w:r>
      <w:r>
        <w:rPr>
          <w:rFonts w:eastAsia="Times New Roman"/>
        </w:rPr>
        <w:t xml:space="preserve"> that generates explanations based on the platform's own computations, and can decline to answer when supporting evidence is not available</w:t>
      </w:r>
    </w:p>
    <w:p w14:paraId="33D8349F" w14:textId="77777777" w:rsidR="00B678ED" w:rsidRDefault="00000000">
      <w:pPr>
        <w:spacing w:after="60" w:line="360" w:lineRule="auto"/>
        <w:ind w:left="720"/>
        <w:jc w:val="both"/>
      </w:pPr>
      <w:r>
        <w:rPr>
          <w:rFonts w:eastAsia="Times New Roman"/>
        </w:rPr>
        <w:t xml:space="preserve">3.  An </w:t>
      </w:r>
      <w:r>
        <w:rPr>
          <w:rFonts w:eastAsia="Times New Roman"/>
          <w:b/>
        </w:rPr>
        <w:t>educational hub</w:t>
      </w:r>
      <w:r>
        <w:rPr>
          <w:rFonts w:eastAsia="Times New Roman"/>
        </w:rPr>
        <w:t xml:space="preserve"> connecting quantitative finance theory to the practical tools available on the platform, aimed at Vietnamese retail investors</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w:t>
      </w:r>
      <w:r w:rsidR="00000000">
        <w:rPr>
          <w:rFonts w:eastAsia="Times New Roman"/>
          <w:b/>
        </w:rPr>
        <w:t xml:space="preserve"> 2</w:t>
      </w:r>
      <w:proofErr w:type="gramEnd"/>
      <w:r w:rsidR="00000000">
        <w:rPr>
          <w:rFonts w:eastAsia="Times New Roman"/>
        </w:rPr>
        <w:t xml:space="preserve"> reviews the theoretical foundations in quantitative finance, </w:t>
      </w:r>
      <w:proofErr w:type="spellStart"/>
      <w:r w:rsidR="00000000">
        <w:rPr>
          <w:rFonts w:eastAsia="Times New Roman"/>
        </w:rPr>
        <w:t>backtesting</w:t>
      </w:r>
      <w:proofErr w:type="spellEnd"/>
      <w:r w:rsidR="00000000">
        <w:rPr>
          <w:rFonts w:eastAsia="Times New Roman"/>
        </w:rPr>
        <w:t xml:space="preserve"> methodology, and AI-assisted financial analysis, and formulates the research hypotheses. </w:t>
      </w:r>
      <w:proofErr w:type="gramStart"/>
      <w:r>
        <w:rPr>
          <w:rFonts w:eastAsia="Times New Roman"/>
          <w:b/>
        </w:rPr>
        <w:t xml:space="preserve">Section </w:t>
      </w:r>
      <w:r w:rsidR="00000000">
        <w:rPr>
          <w:rFonts w:eastAsia="Times New Roman"/>
          <w:b/>
        </w:rPr>
        <w:t xml:space="preserve"> 3</w:t>
      </w:r>
      <w:proofErr w:type="gramEnd"/>
      <w:r w:rsidR="00000000">
        <w:rPr>
          <w:rFonts w:eastAsia="Times New Roman"/>
        </w:rPr>
        <w:t xml:space="preserve"> presents the research methodology, including data collection and the quantitative methods employed. </w:t>
      </w:r>
      <w:r>
        <w:rPr>
          <w:rFonts w:eastAsia="Times New Roman"/>
          <w:b/>
        </w:rPr>
        <w:t>Section</w:t>
      </w:r>
      <w:r w:rsidR="00000000">
        <w:rPr>
          <w:rFonts w:eastAsia="Times New Roman"/>
          <w:b/>
        </w:rPr>
        <w:t xml:space="preserve"> 4</w:t>
      </w:r>
      <w:r w:rsidR="00000000">
        <w:rPr>
          <w:rFonts w:eastAsia="Times New Roman"/>
        </w:rPr>
        <w:t xml:space="preserve"> describes the system design, demonstrates the implemented features, and discusses results. </w:t>
      </w:r>
      <w:r>
        <w:rPr>
          <w:rFonts w:eastAsia="Times New Roman"/>
          <w:b/>
        </w:rPr>
        <w:t>Section</w:t>
      </w:r>
      <w:r w:rsidR="00000000">
        <w:rPr>
          <w:rFonts w:eastAsia="Times New Roman"/>
          <w:b/>
        </w:rPr>
        <w:t xml:space="preserve"> 5</w:t>
      </w:r>
      <w:r w:rsidR="00000000">
        <w:rPr>
          <w:rFonts w:eastAsia="Times New Roman"/>
        </w:rPr>
        <w:t xml:space="preserve"> concludes with limitations and future directions.</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w:t>
      </w:r>
      <w:r w:rsidR="00D765E6">
        <w:rPr>
          <w:rFonts w:eastAsia="Times New Roman"/>
        </w:rPr>
        <w:t>section</w:t>
      </w:r>
      <w:r>
        <w:rPr>
          <w:rFonts w:eastAsia="Times New Roman"/>
        </w:rPr>
        <w:t xml:space="preserve"> reviews the theoretical and empirical foundations that inform the design of </w:t>
      </w:r>
      <w:proofErr w:type="spellStart"/>
      <w:r>
        <w:rPr>
          <w:rFonts w:eastAsia="Times New Roman"/>
        </w:rPr>
        <w:t>QuantVN</w:t>
      </w:r>
      <w:proofErr w:type="spellEnd"/>
      <w:r>
        <w:rPr>
          <w:rFonts w:eastAsia="Times New Roman"/>
        </w:rPr>
        <w:t xml:space="preserve"> Strategy Forge. The review covers quantitative finance theory, trading strategy evaluation, risk management, AI-assisted financial analysis, and the current landscape of retail investor tools.</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w:t>
      </w:r>
      <w:proofErr w:type="spellStart"/>
      <w:r>
        <w:rPr>
          <w:rFonts w:eastAsia="Times New Roman"/>
        </w:rPr>
        <w:t>formalised</w:t>
      </w:r>
      <w:proofErr w:type="spellEnd"/>
      <w:r>
        <w:rPr>
          <w:rFonts w:eastAsia="Times New Roman"/>
        </w:rPr>
        <w:t xml:space="preserve"> three forms of market efficiency weak, semi-strong, and strong based on the degree to which prices reflect available information (Fama, 1970). While the EMH has been challenged by extensive evidence of market anomalies, it remains foundational for understanding why quantitative analysis tools should present results as conditional on assumptions rather than as guaranteed predictions.</w:t>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that the market exhibits characteristics of weak-form efficiency with periodic inefficiencies, particularly around information disclosure events and policy changes (Truong et al., 2010). Given these dynamics, tools that help investors evaluate strategies systematically rather than relying on informal </w:t>
      </w:r>
      <w:proofErr w:type="gramStart"/>
      <w:r>
        <w:rPr>
          <w:rFonts w:eastAsia="Times New Roman"/>
        </w:rPr>
        <w:t>judgment  have</w:t>
      </w:r>
      <w:proofErr w:type="gramEnd"/>
      <w:r>
        <w:rPr>
          <w:rFonts w:eastAsia="Times New Roman"/>
        </w:rPr>
        <w:t xml:space="preserve"> clear value.</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that explain cross-sectional return variation. The Fama-French three-factor model added size (SMB) and value (HML) as explanatory factors (Fama &amp; French, 1993), later extended </w:t>
      </w:r>
      <w:r>
        <w:rPr>
          <w:rFonts w:eastAsia="Times New Roman"/>
        </w:rPr>
        <w:lastRenderedPageBreak/>
        <w:t>to five factors including profitability and investment (Fama &amp; French, 2015). Momentum</w:t>
      </w:r>
      <w:r w:rsidR="00DF4DC8">
        <w:rPr>
          <w:rFonts w:eastAsia="Times New Roman"/>
        </w:rPr>
        <w:t xml:space="preserve"> </w:t>
      </w:r>
      <w:r>
        <w:rPr>
          <w:rFonts w:eastAsia="Times New Roman"/>
        </w:rPr>
        <w:t>the tendency of recent winners to continue outperforming</w:t>
      </w:r>
      <w:r w:rsidR="00DF4DC8">
        <w:rPr>
          <w:rFonts w:eastAsia="Times New Roman"/>
        </w:rPr>
        <w:t xml:space="preserve"> </w:t>
      </w:r>
      <w:r>
        <w:rPr>
          <w:rFonts w:eastAsia="Times New Roman"/>
        </w:rPr>
        <w:t>has been documented as one of the most robust anomalies (Jegadeesh &amp; Titman, 1993).</w:t>
      </w:r>
    </w:p>
    <w:p w14:paraId="4183787E" w14:textId="3CE26CC0" w:rsidR="00B678ED" w:rsidRDefault="00000000">
      <w:pPr>
        <w:spacing w:after="120" w:line="360" w:lineRule="auto"/>
        <w:ind w:firstLine="720"/>
        <w:jc w:val="both"/>
      </w:pPr>
      <w:r>
        <w:rPr>
          <w:rFonts w:eastAsia="Times New Roman"/>
        </w:rPr>
        <w:t xml:space="preserve">Harvey, Liu, and Zhu (2016), however, warned that a large portion of published factors do not survive proper multiple-testing corrections. Their work is a reminder of how easily data mining can produce spurious results in quantitative </w:t>
      </w:r>
      <w:proofErr w:type="gramStart"/>
      <w:r>
        <w:rPr>
          <w:rFonts w:eastAsia="Times New Roman"/>
        </w:rPr>
        <w:t>finance  and</w:t>
      </w:r>
      <w:proofErr w:type="gramEnd"/>
      <w:r>
        <w:rPr>
          <w:rFonts w:eastAsia="Times New Roman"/>
        </w:rPr>
        <w:t xml:space="preserve"> why any tool that presents factor analysis should do so with appropriate caveats.</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w:t>
      </w:r>
      <w:proofErr w:type="spellEnd"/>
      <w:r>
        <w:rPr>
          <w:rFonts w:eastAsia="Times New Roman"/>
        </w:rPr>
        <w:t xml:space="preserve"> the historical simulation of trading strategies</w:t>
      </w:r>
      <w:r w:rsidR="001A7A20">
        <w:rPr>
          <w:rFonts w:eastAsia="Times New Roman"/>
        </w:rPr>
        <w:t xml:space="preserve"> </w:t>
      </w:r>
      <w:r>
        <w:rPr>
          <w:rFonts w:eastAsia="Times New Roman"/>
        </w:rPr>
        <w:t xml:space="preserve">is the primary tool for evaluating strategy ideas but is also the primary source of misleading evidence. Bailey, </w:t>
      </w:r>
      <w:proofErr w:type="spellStart"/>
      <w:r>
        <w:rPr>
          <w:rFonts w:eastAsia="Times New Roman"/>
        </w:rPr>
        <w:t>Borwein</w:t>
      </w:r>
      <w:proofErr w:type="spellEnd"/>
      <w:r>
        <w:rPr>
          <w:rFonts w:eastAsia="Times New Roman"/>
        </w:rPr>
        <w:t xml:space="preserve">, López de Prado, and Zhu (2016) identified multiple sources of </w:t>
      </w:r>
      <w:proofErr w:type="spellStart"/>
      <w:r>
        <w:rPr>
          <w:rFonts w:eastAsia="Times New Roman"/>
        </w:rPr>
        <w:t>backtest</w:t>
      </w:r>
      <w:proofErr w:type="spellEnd"/>
      <w:r>
        <w:rPr>
          <w:rFonts w:eastAsia="Times New Roman"/>
        </w:rPr>
        <w:t xml:space="preserve"> overfitting, including look-ahead bias, survivorship bias, unrealistic cost assumptions, and selection bias from reporting only the best result among many trials. Lo (2002) argued that quantitative performance metrics can be misleading without proper context about the evaluation methodology.</w:t>
      </w:r>
    </w:p>
    <w:p w14:paraId="13B5FEA1" w14:textId="77777777" w:rsidR="00B678ED" w:rsidRDefault="00000000">
      <w:pPr>
        <w:spacing w:after="120" w:line="360" w:lineRule="auto"/>
        <w:ind w:firstLine="720"/>
        <w:jc w:val="both"/>
      </w:pPr>
      <w:r>
        <w:rPr>
          <w:rFonts w:eastAsia="Times New Roman"/>
        </w:rPr>
        <w:t xml:space="preserve">These well-documented pitfalls are the reason why the </w:t>
      </w:r>
      <w:proofErr w:type="spellStart"/>
      <w:r>
        <w:rPr>
          <w:rFonts w:eastAsia="Times New Roman"/>
        </w:rPr>
        <w:t>backtesting</w:t>
      </w:r>
      <w:proofErr w:type="spellEnd"/>
      <w:r>
        <w:rPr>
          <w:rFonts w:eastAsia="Times New Roman"/>
        </w:rPr>
        <w:t xml:space="preserve"> engine in this thesis makes execution timing, transaction costs, and data quality assumptions visible to users by default rather than hiding them.</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uses complementary measures across different dimensions. Variance-based measures (volatility, beta) capture return dispersion, while tail-risk measures</w:t>
      </w:r>
      <w:r w:rsidR="00DF4DC8">
        <w:rPr>
          <w:rFonts w:eastAsia="Times New Roman"/>
        </w:rPr>
        <w:t xml:space="preserve"> </w:t>
      </w:r>
      <w:r>
        <w:rPr>
          <w:rFonts w:eastAsia="Times New Roman"/>
        </w:rPr>
        <w:t>Value at Risk (</w:t>
      </w:r>
      <w:proofErr w:type="spellStart"/>
      <w:r>
        <w:rPr>
          <w:rFonts w:eastAsia="Times New Roman"/>
        </w:rPr>
        <w:t>VaR</w:t>
      </w:r>
      <w:proofErr w:type="spellEnd"/>
      <w:r>
        <w:rPr>
          <w:rFonts w:eastAsia="Times New Roman"/>
        </w:rPr>
        <w:t xml:space="preserve">) and Conditional </w:t>
      </w:r>
      <w:proofErr w:type="spellStart"/>
      <w:r>
        <w:rPr>
          <w:rFonts w:eastAsia="Times New Roman"/>
        </w:rPr>
        <w:t>VaR</w:t>
      </w:r>
      <w:proofErr w:type="spellEnd"/>
      <w:r>
        <w:rPr>
          <w:rFonts w:eastAsia="Times New Roman"/>
        </w:rPr>
        <w:t xml:space="preserve"> (CVaR, also called </w:t>
      </w:r>
      <w:r>
        <w:rPr>
          <w:rFonts w:eastAsia="Times New Roman"/>
        </w:rPr>
        <w:lastRenderedPageBreak/>
        <w:t>Expected Shortfall)</w:t>
      </w:r>
      <w:r w:rsidR="001A7A20">
        <w:rPr>
          <w:rFonts w:eastAsia="Times New Roman"/>
        </w:rPr>
        <w:t xml:space="preserve"> </w:t>
      </w:r>
      <w:r>
        <w:rPr>
          <w:rFonts w:eastAsia="Times New Roman"/>
        </w:rPr>
        <w:t>quantify potential losses in adverse scenarios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 Drawdown analysis measures peak-to-trough capital decline, providing an intuitive measure of investment risk.</w:t>
      </w:r>
      <w:r w:rsidR="001A7A20">
        <w:t xml:space="preserve"> </w:t>
      </w:r>
      <w:r>
        <w:rPr>
          <w:rFonts w:eastAsia="Times New Roman"/>
        </w:rPr>
        <w:t>All risk metrics depend on data quality: covariance estimation requires properly aligned return series, and tail-risk measures are sensitive to outliers and missing data. For Vietnamese equities, the ±7% daily price limit imposed by HOSE regulations (HOSE, n.d.) creates truncated return distributions that affect volatility and tail-risk estimation.</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shown strong natural language capabilities, which makes them interesting as conversational interfaces for financial tools. But they hallucinate</w:t>
      </w:r>
      <w:r w:rsidR="001A7A20">
        <w:rPr>
          <w:rFonts w:eastAsia="Times New Roman"/>
        </w:rPr>
        <w:t xml:space="preserve"> </w:t>
      </w:r>
      <w:r>
        <w:rPr>
          <w:rFonts w:eastAsia="Times New Roman"/>
        </w:rPr>
        <w:t>they generate text that sounds correct but isn't (Lin et al., 2022). In finance, hallucinated numbers about stock returns or risk metrics could directly mislead an investor's decisions.</w:t>
      </w:r>
    </w:p>
    <w:p w14:paraId="5F5FCB89" w14:textId="77777777" w:rsidR="00B678ED" w:rsidRDefault="00000000">
      <w:pPr>
        <w:spacing w:after="120" w:line="360" w:lineRule="auto"/>
        <w:ind w:firstLine="720"/>
        <w:jc w:val="both"/>
      </w:pPr>
      <w:r>
        <w:rPr>
          <w:rFonts w:eastAsia="Times New Roman"/>
        </w:rPr>
        <w:t xml:space="preserve">Retrieval-Augmented Generation (RAG) addresses this by conditioning model outputs on retrieved evidence rather than relying solely on parametric knowledge (Lewis et al., 2020). The key insight is that grounding LLM responses in structured, verifiable data sources significantly reduces unsupported claims. Domain-specific models such as </w:t>
      </w:r>
      <w:proofErr w:type="spellStart"/>
      <w:r>
        <w:rPr>
          <w:rFonts w:eastAsia="Times New Roman"/>
        </w:rPr>
        <w:t>BloombergGPT</w:t>
      </w:r>
      <w:proofErr w:type="spellEnd"/>
      <w:r>
        <w:rPr>
          <w:rFonts w:eastAsia="Times New Roman"/>
        </w:rPr>
        <w:t xml:space="preserve"> (Wu et al., 2023) and </w:t>
      </w:r>
      <w:proofErr w:type="spellStart"/>
      <w:r>
        <w:rPr>
          <w:rFonts w:eastAsia="Times New Roman"/>
        </w:rPr>
        <w:t>FinGPT</w:t>
      </w:r>
      <w:proofErr w:type="spellEnd"/>
      <w:r>
        <w:rPr>
          <w:rFonts w:eastAsia="Times New Roman"/>
        </w:rPr>
        <w:t xml:space="preserve"> (Yang et al., 2023) show that financial domain training improves NLP tasks, but does not eliminate hallucination for specific numeric claims.</w:t>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growing but fragmented. The primary digital tools are brokerage-integrated platforms from major securities companies</w:t>
      </w:r>
      <w:r w:rsidR="001A7A20">
        <w:rPr>
          <w:rFonts w:eastAsia="Times New Roman"/>
        </w:rPr>
        <w:t xml:space="preserve"> </w:t>
      </w:r>
      <w:r>
        <w:rPr>
          <w:rFonts w:eastAsia="Times New Roman"/>
        </w:rPr>
        <w:t xml:space="preserve">TCBS (TCBS, n.d.), SSI </w:t>
      </w:r>
      <w:proofErr w:type="spellStart"/>
      <w:r>
        <w:rPr>
          <w:rFonts w:eastAsia="Times New Roman"/>
        </w:rPr>
        <w:t>iBoard</w:t>
      </w:r>
      <w:proofErr w:type="spellEnd"/>
      <w:r>
        <w:rPr>
          <w:rFonts w:eastAsia="Times New Roman"/>
        </w:rPr>
        <w:t xml:space="preserve"> (SSI, n.d.), and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which provide charting, order execution, and basic screening but lack </w:t>
      </w:r>
      <w:r>
        <w:rPr>
          <w:rFonts w:eastAsia="Times New Roman"/>
        </w:rPr>
        <w:lastRenderedPageBreak/>
        <w:t xml:space="preserve">quantitative analysis capabilities such as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or risk measurement.</w:t>
      </w:r>
    </w:p>
    <w:p w14:paraId="448981C8" w14:textId="77777777" w:rsidR="00B678ED" w:rsidRDefault="00000000">
      <w:pPr>
        <w:spacing w:after="120" w:line="360" w:lineRule="auto"/>
        <w:ind w:firstLine="720"/>
        <w:jc w:val="both"/>
      </w:pPr>
      <w:r>
        <w:rPr>
          <w:rFonts w:eastAsia="Times New Roman"/>
        </w:rPr>
        <w:t xml:space="preserve">Several </w:t>
      </w:r>
      <w:proofErr w:type="spellStart"/>
      <w:r>
        <w:rPr>
          <w:rFonts w:eastAsia="Times New Roman"/>
        </w:rPr>
        <w:t>specialised</w:t>
      </w:r>
      <w:proofErr w:type="spellEnd"/>
      <w:r>
        <w:rPr>
          <w:rFonts w:eastAsia="Times New Roman"/>
        </w:rPr>
        <w:t xml:space="preserve"> Vietnamese platforms have emerged. </w:t>
      </w:r>
      <w:proofErr w:type="spellStart"/>
      <w:r>
        <w:rPr>
          <w:rFonts w:eastAsia="Times New Roman"/>
        </w:rPr>
        <w:t>Algotrade</w:t>
      </w:r>
      <w:proofErr w:type="spellEnd"/>
      <w:r>
        <w:rPr>
          <w:rFonts w:eastAsia="Times New Roman"/>
        </w:rPr>
        <w:t xml:space="preserve"> offers fully automated algorithmic trading with tick-by-tick data and API integration via SSI, targeting professional and institutional investors (</w:t>
      </w:r>
      <w:proofErr w:type="spellStart"/>
      <w:r>
        <w:rPr>
          <w:rFonts w:eastAsia="Times New Roman"/>
        </w:rPr>
        <w:t>Algotrade</w:t>
      </w:r>
      <w:proofErr w:type="spellEnd"/>
      <w:r>
        <w:rPr>
          <w:rFonts w:eastAsia="Times New Roman"/>
        </w:rPr>
        <w:t xml:space="preserve">, n.d.). </w:t>
      </w:r>
      <w:proofErr w:type="spellStart"/>
      <w:r>
        <w:rPr>
          <w:rFonts w:eastAsia="Times New Roman"/>
        </w:rPr>
        <w:t>Miquant</w:t>
      </w:r>
      <w:proofErr w:type="spellEnd"/>
      <w:r>
        <w:rPr>
          <w:rFonts w:eastAsia="Times New Roman"/>
        </w:rPr>
        <w:t xml:space="preserve"> provides AI-powered quantitative analysis including automated stock valuation, AI chatbot, sentiment analysis, and AI-driven stock ranking (</w:t>
      </w:r>
      <w:proofErr w:type="spellStart"/>
      <w:r>
        <w:rPr>
          <w:rFonts w:eastAsia="Times New Roman"/>
        </w:rPr>
        <w:t>Miquant</w:t>
      </w:r>
      <w:proofErr w:type="spellEnd"/>
      <w:r>
        <w:rPr>
          <w:rFonts w:eastAsia="Times New Roman"/>
        </w:rPr>
        <w:t xml:space="preserve">, n.d.). However, neither platform offers user-driven strategy </w:t>
      </w:r>
      <w:proofErr w:type="spellStart"/>
      <w:r>
        <w:rPr>
          <w:rFonts w:eastAsia="Times New Roman"/>
        </w:rPr>
        <w:t>backtesting</w:t>
      </w:r>
      <w:proofErr w:type="spellEnd"/>
      <w:r>
        <w:rPr>
          <w:rFonts w:eastAsia="Times New Roman"/>
        </w:rPr>
        <w:t xml:space="preserve"> with transparent cost assumptions, nor do they provide portfolio </w:t>
      </w:r>
      <w:proofErr w:type="spellStart"/>
      <w:r>
        <w:rPr>
          <w:rFonts w:eastAsia="Times New Roman"/>
        </w:rPr>
        <w:t>optimisation</w:t>
      </w:r>
      <w:proofErr w:type="spellEnd"/>
      <w:r>
        <w:rPr>
          <w:rFonts w:eastAsia="Times New Roman"/>
        </w:rPr>
        <w:t xml:space="preserve"> or factor analysis tools accessible to retail investors.</w:t>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The literature points to a common theme: Vietnamese retail investors need accessible quantitative tools, but those tools must be careful about how they present results. A </w:t>
      </w:r>
      <w:proofErr w:type="spellStart"/>
      <w:r>
        <w:rPr>
          <w:rFonts w:eastAsia="Times New Roman"/>
        </w:rPr>
        <w:t>backtesting</w:t>
      </w:r>
      <w:proofErr w:type="spellEnd"/>
      <w:r>
        <w:rPr>
          <w:rFonts w:eastAsia="Times New Roman"/>
        </w:rPr>
        <w:t xml:space="preserve"> engine that ignores transaction costs will produce misleading numbers. Risk metrics computed on raw HOSE data without accounting for price limits will underestimate tail risk. And an AI assistant that generates numbers from parametric knowledge rather than actual computation is a liability, not a feature.</w:t>
      </w:r>
    </w:p>
    <w:p w14:paraId="2F9ACBBB" w14:textId="77777777"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is designed around these constraints. It brings stock screening,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risk management, and factor analysis into a single platform, with an AI assistant that grounds its explanations in the platform's own quantitative computations rather than generating answers from general knowledge.</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Based on the literature gap identified in</w:t>
      </w:r>
      <w:r w:rsidR="001A7A20">
        <w:rPr>
          <w:rFonts w:eastAsia="Times New Roman"/>
        </w:rPr>
        <w:t xml:space="preserve"> Table 2</w:t>
      </w:r>
      <w:r w:rsidR="00DF069F">
        <w:rPr>
          <w:rFonts w:eastAsia="Times New Roman"/>
        </w:rPr>
        <w:t xml:space="preserve"> </w:t>
      </w:r>
      <w:r>
        <w:rPr>
          <w:rFonts w:eastAsia="Times New Roman"/>
        </w:rPr>
        <w:t>and the limitations of existing approaches reviewed in Sections 2.3–2.6, this thesis proposes the following testable hypotheses:</w:t>
      </w:r>
    </w:p>
    <w:p w14:paraId="12349E9B" w14:textId="5F843979" w:rsidR="00B678ED" w:rsidRDefault="00000000">
      <w:pPr>
        <w:spacing w:after="120" w:line="360" w:lineRule="auto"/>
        <w:ind w:firstLine="720"/>
        <w:jc w:val="both"/>
      </w:pPr>
      <w:r>
        <w:rPr>
          <w:rFonts w:eastAsia="Times New Roman"/>
          <w:b/>
        </w:rPr>
        <w:t>H1:</w:t>
      </w:r>
      <w:r>
        <w:rPr>
          <w:rFonts w:eastAsia="Times New Roman"/>
        </w:rPr>
        <w:t xml:space="preserve"> A</w:t>
      </w:r>
      <w:r w:rsidR="001A7A20">
        <w:rPr>
          <w:rFonts w:eastAsia="Times New Roman"/>
        </w:rPr>
        <w:t xml:space="preserve"> </w:t>
      </w:r>
      <w:r>
        <w:rPr>
          <w:rFonts w:eastAsia="Times New Roman"/>
        </w:rPr>
        <w:t>web-based integrated quantitative analysis platform can make institutional</w:t>
      </w:r>
      <w:r w:rsidR="001A7A20">
        <w:rPr>
          <w:rFonts w:eastAsia="Times New Roman"/>
        </w:rPr>
        <w:t xml:space="preserve"> </w:t>
      </w:r>
      <w:r>
        <w:rPr>
          <w:rFonts w:eastAsia="Times New Roman"/>
        </w:rPr>
        <w:t xml:space="preserve">grade quantitative tools accessible to Vietnamese retail investors on HOSE without requiring programming knowledge or </w:t>
      </w:r>
      <w:proofErr w:type="spellStart"/>
      <w:r>
        <w:rPr>
          <w:rFonts w:eastAsia="Times New Roman"/>
        </w:rPr>
        <w:t>specialised</w:t>
      </w:r>
      <w:proofErr w:type="spellEnd"/>
      <w:r>
        <w:rPr>
          <w:rFonts w:eastAsia="Times New Roman"/>
        </w:rPr>
        <w:t xml:space="preserve"> software installation.</w:t>
      </w:r>
    </w:p>
    <w:p w14:paraId="07B55E81" w14:textId="0E750F59" w:rsidR="00B678ED" w:rsidRDefault="00000000">
      <w:pPr>
        <w:spacing w:after="120" w:line="360" w:lineRule="auto"/>
        <w:ind w:firstLine="720"/>
        <w:jc w:val="both"/>
      </w:pPr>
      <w:r>
        <w:rPr>
          <w:rFonts w:eastAsia="Times New Roman"/>
          <w:b/>
        </w:rPr>
        <w:lastRenderedPageBreak/>
        <w:t>H2:</w:t>
      </w:r>
      <w:r>
        <w:rPr>
          <w:rFonts w:eastAsia="Times New Roman"/>
        </w:rPr>
        <w:t xml:space="preserve"> Incorporating Vietnamese market-specific parameters</w:t>
      </w:r>
      <w:r w:rsidR="001A7A20">
        <w:rPr>
          <w:rFonts w:eastAsia="Times New Roman"/>
        </w:rPr>
        <w:t xml:space="preserve"> </w:t>
      </w:r>
      <w:r>
        <w:rPr>
          <w:rFonts w:eastAsia="Times New Roman"/>
        </w:rPr>
        <w:t>including HOSE's 100-share lot size, domestic transaction costs (brokerage fee, sell-side tax), and next-open execution model</w:t>
      </w:r>
      <w:r w:rsidR="001A7A20">
        <w:rPr>
          <w:rFonts w:eastAsia="Times New Roman"/>
        </w:rPr>
        <w:t xml:space="preserve"> </w:t>
      </w:r>
      <w:r>
        <w:rPr>
          <w:rFonts w:eastAsia="Times New Roman"/>
        </w:rPr>
        <w:t xml:space="preserve">into a </w:t>
      </w:r>
      <w:proofErr w:type="spellStart"/>
      <w:r>
        <w:rPr>
          <w:rFonts w:eastAsia="Times New Roman"/>
        </w:rPr>
        <w:t>backtesting</w:t>
      </w:r>
      <w:proofErr w:type="spellEnd"/>
      <w:r>
        <w:rPr>
          <w:rFonts w:eastAsia="Times New Roman"/>
        </w:rPr>
        <w:t xml:space="preserve"> engine produces more realistic performance estimates than generic international tools that omit these parameters.</w:t>
      </w:r>
    </w:p>
    <w:p w14:paraId="53F72532" w14:textId="2DD9FA51" w:rsidR="00B678ED" w:rsidRDefault="00000000">
      <w:pPr>
        <w:spacing w:after="120" w:line="360" w:lineRule="auto"/>
        <w:ind w:firstLine="720"/>
        <w:jc w:val="both"/>
      </w:pPr>
      <w:r>
        <w:rPr>
          <w:rFonts w:eastAsia="Times New Roman"/>
          <w:b/>
        </w:rPr>
        <w:t>H3:</w:t>
      </w:r>
      <w:r>
        <w:rPr>
          <w:rFonts w:eastAsia="Times New Roman"/>
        </w:rPr>
        <w:t xml:space="preserve"> A no-code visual strategy builder based on a node-and-edge composition model can enable non-technical retail investors on HOSE to design, </w:t>
      </w:r>
      <w:proofErr w:type="spellStart"/>
      <w:r>
        <w:rPr>
          <w:rFonts w:eastAsia="Times New Roman"/>
        </w:rPr>
        <w:t>backtest</w:t>
      </w:r>
      <w:proofErr w:type="spellEnd"/>
      <w:r>
        <w:rPr>
          <w:rFonts w:eastAsia="Times New Roman"/>
        </w:rPr>
        <w:t>, and iterate on quantitative trading strategies</w:t>
      </w:r>
      <w:r w:rsidR="001A7A20">
        <w:rPr>
          <w:rFonts w:eastAsia="Times New Roman"/>
        </w:rPr>
        <w:t xml:space="preserve"> </w:t>
      </w:r>
      <w:r>
        <w:rPr>
          <w:rFonts w:eastAsia="Times New Roman"/>
        </w:rPr>
        <w:t xml:space="preserve">addressing the barrier created by existing no-code algorithmic trading platforms (such as </w:t>
      </w:r>
      <w:proofErr w:type="spellStart"/>
      <w:r>
        <w:rPr>
          <w:rFonts w:eastAsia="Times New Roman"/>
        </w:rPr>
        <w:t>Zerodha</w:t>
      </w:r>
      <w:proofErr w:type="spellEnd"/>
      <w:r>
        <w:rPr>
          <w:rFonts w:eastAsia="Times New Roman"/>
        </w:rPr>
        <w:t xml:space="preserve"> Streak,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Pr>
          <w:rFonts w:eastAsia="Times New Roman"/>
        </w:rPr>
        <w:t>) that offer visual strategy design but do not support Vietnamese equities or HOSE market conventions.</w:t>
      </w:r>
    </w:p>
    <w:p w14:paraId="4B5AE10E" w14:textId="5DC28785" w:rsidR="00B678ED" w:rsidRDefault="00000000">
      <w:pPr>
        <w:spacing w:after="120" w:line="360" w:lineRule="auto"/>
        <w:ind w:firstLine="720"/>
        <w:jc w:val="both"/>
      </w:pPr>
      <w:r>
        <w:rPr>
          <w:rFonts w:eastAsia="Times New Roman"/>
          <w:b/>
        </w:rPr>
        <w:t>H4:</w:t>
      </w:r>
      <w:r>
        <w:rPr>
          <w:rFonts w:eastAsia="Times New Roman"/>
        </w:rPr>
        <w:t xml:space="preserve"> A multi-stage data validation pipeline that explicitly handles issues arising from raw open-source data access via </w:t>
      </w:r>
      <w:proofErr w:type="spellStart"/>
      <w:r>
        <w:rPr>
          <w:rFonts w:eastAsia="Times New Roman"/>
        </w:rPr>
        <w:t>vnstock</w:t>
      </w:r>
      <w:proofErr w:type="spellEnd"/>
      <w:r w:rsidR="001A7A20">
        <w:rPr>
          <w:rFonts w:eastAsia="Times New Roman"/>
        </w:rPr>
        <w:t xml:space="preserve"> </w:t>
      </w:r>
      <w:r>
        <w:rPr>
          <w:rFonts w:eastAsia="Times New Roman"/>
        </w:rPr>
        <w:t>including price record inconsistencies, corporate action gaps, trading halts, and coverage variations across symbols</w:t>
      </w:r>
      <w:r w:rsidR="001A7A20">
        <w:rPr>
          <w:rFonts w:eastAsia="Times New Roman"/>
        </w:rPr>
        <w:t xml:space="preserve"> </w:t>
      </w:r>
      <w:r>
        <w:rPr>
          <w:rFonts w:eastAsia="Times New Roman"/>
        </w:rPr>
        <w:t>can ensure that analytical outputs remain reliable despite the inherent limitations of freely-accessible, exchange-sourced data.</w:t>
      </w:r>
    </w:p>
    <w:p w14:paraId="7878B385" w14:textId="77777777" w:rsidR="00B678ED" w:rsidRDefault="00000000">
      <w:pPr>
        <w:spacing w:after="120" w:line="360" w:lineRule="auto"/>
        <w:ind w:firstLine="720"/>
        <w:jc w:val="both"/>
      </w:pPr>
      <w:r>
        <w:rPr>
          <w:rFonts w:eastAsia="Times New Roman"/>
          <w:b/>
        </w:rPr>
        <w:t>H5:</w:t>
      </w:r>
      <w:r>
        <w:rPr>
          <w:rFonts w:eastAsia="Times New Roman"/>
        </w:rPr>
        <w:t xml:space="preserve"> An AI assistant with tool-grounding and an abstention policy can provide reliable financial analysis explanations without generating unsupported numerical claims.</w:t>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w:t>
      </w:r>
      <w:r w:rsidR="00D765E6">
        <w:rPr>
          <w:rFonts w:eastAsia="Times New Roman"/>
        </w:rPr>
        <w:t>section</w:t>
      </w:r>
      <w:r>
        <w:rPr>
          <w:rFonts w:eastAsia="Times New Roman"/>
        </w:rPr>
        <w:t xml:space="preserve"> presents the research methodology used to design, implement, and evaluate </w:t>
      </w:r>
      <w:proofErr w:type="spellStart"/>
      <w:r>
        <w:rPr>
          <w:rFonts w:eastAsia="Times New Roman"/>
        </w:rPr>
        <w:t>QuantVN</w:t>
      </w:r>
      <w:proofErr w:type="spellEnd"/>
      <w:r>
        <w:rPr>
          <w:rFonts w:eastAsia="Times New Roman"/>
        </w:rPr>
        <w:t xml:space="preserve"> Strategy Forge.</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takes an applied research approach. It starts from a practical </w:t>
      </w:r>
      <w:proofErr w:type="gramStart"/>
      <w:r>
        <w:rPr>
          <w:rFonts w:eastAsia="Times New Roman"/>
        </w:rPr>
        <w:t>problem  the</w:t>
      </w:r>
      <w:proofErr w:type="gramEnd"/>
      <w:r>
        <w:rPr>
          <w:rFonts w:eastAsia="Times New Roman"/>
        </w:rPr>
        <w:t xml:space="preserve"> absence of accessible quantitative tools for Vietnamese retail investors then designs and builds a platform to address it, and finally evaluates whether the platform works as intended.</w:t>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not tied to a single RQ but underpins both RQ1 and RQ2: without validated data, the platform cannot produce reliable screening or </w:t>
            </w:r>
            <w:proofErr w:type="spellStart"/>
            <w:r>
              <w:rPr>
                <w:rFonts w:eastAsia="Times New Roman"/>
                <w:sz w:val="22"/>
              </w:rPr>
              <w:t>backtesting</w:t>
            </w:r>
            <w:proofErr w:type="spellEnd"/>
            <w:r>
              <w:rPr>
                <w:rFonts w:eastAsia="Times New Roman"/>
                <w:sz w:val="22"/>
              </w:rPr>
              <w:t xml:space="preserve"> results. Evaluated through pipeline coverage statistics and quality gate demonstrations.</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 is processed through an offline preparation pipeline that validates records, removes invalid entries (e.g., rows where High &lt; Low or Close ≤ 0), and produces runtime-ready datasets with a manifest recording coverage and quality statistics. Unlike commercial data providers such as </w:t>
      </w:r>
      <w:proofErr w:type="spellStart"/>
      <w:r>
        <w:rPr>
          <w:rFonts w:eastAsia="Times New Roman"/>
        </w:rPr>
        <w:t>FiinPro</w:t>
      </w:r>
      <w:proofErr w:type="spellEnd"/>
      <w:r>
        <w:rPr>
          <w:rFonts w:eastAsia="Times New Roman"/>
        </w:rPr>
        <w:t xml:space="preserve"> or </w:t>
      </w:r>
      <w:proofErr w:type="spellStart"/>
      <w:r>
        <w:rPr>
          <w:rFonts w:eastAsia="Times New Roman"/>
        </w:rPr>
        <w:t>CafeF</w:t>
      </w:r>
      <w:proofErr w:type="spellEnd"/>
      <w:r w:rsidR="00DF4DC8">
        <w:rPr>
          <w:rFonts w:eastAsia="Times New Roman"/>
        </w:rPr>
        <w:t xml:space="preserve"> </w:t>
      </w:r>
      <w:r>
        <w:rPr>
          <w:rFonts w:eastAsia="Times New Roman"/>
        </w:rPr>
        <w:t xml:space="preserve">which offer curated, subscription-based financial data feeds the platform deliberately uses </w:t>
      </w:r>
      <w:proofErr w:type="spellStart"/>
      <w:r>
        <w:rPr>
          <w:rFonts w:eastAsia="Times New Roman"/>
        </w:rPr>
        <w:t>vnstock</w:t>
      </w:r>
      <w:proofErr w:type="spellEnd"/>
      <w:r>
        <w:rPr>
          <w:rFonts w:eastAsia="Times New Roman"/>
        </w:rPr>
        <w:t xml:space="preserve"> </w:t>
      </w:r>
      <w:r>
        <w:rPr>
          <w:rFonts w:eastAsia="Times New Roman"/>
        </w:rPr>
        <w:lastRenderedPageBreak/>
        <w:t>as a freely accessible, open-source data source to remain accessible to retail investors. This design choice requires an explicit validation layer to ensure analytical reliability.</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w:t>
      </w:r>
      <w:r>
        <w:rPr>
          <w:rFonts w:eastAsia="Times New Roman"/>
          <w:b/>
        </w:rPr>
        <w:t>Corporate actions (splits, dividends):</w:t>
      </w:r>
      <w:r>
        <w:rPr>
          <w:rFonts w:eastAsia="Times New Roman"/>
        </w:rPr>
        <w:t xml:space="preserve"> Require adjusted-price treatment to avoid spurious return calculations in long-term </w:t>
      </w:r>
      <w:proofErr w:type="spellStart"/>
      <w:r>
        <w:rPr>
          <w:rFonts w:eastAsia="Times New Roman"/>
        </w:rPr>
        <w:t>backtests</w:t>
      </w:r>
      <w:proofErr w:type="spellEnd"/>
    </w:p>
    <w:p w14:paraId="2BDDC5FB" w14:textId="77777777" w:rsidR="00B678ED" w:rsidRDefault="00000000">
      <w:pPr>
        <w:spacing w:after="60" w:line="360" w:lineRule="auto"/>
        <w:ind w:left="720"/>
        <w:jc w:val="both"/>
      </w:pPr>
      <w:r>
        <w:rPr>
          <w:rFonts w:eastAsia="Times New Roman"/>
        </w:rPr>
        <w:t xml:space="preserve">•  </w:t>
      </w:r>
      <w:r>
        <w:rPr>
          <w:rFonts w:eastAsia="Times New Roman"/>
          <w:b/>
        </w:rPr>
        <w:t>Trading halts and suspensions:</w:t>
      </w:r>
      <w:r>
        <w:rPr>
          <w:rFonts w:eastAsia="Times New Roman"/>
        </w:rPr>
        <w:t xml:space="preserve"> Create gaps in time series for specific symbols that must be handled to prevent data leakage</w:t>
      </w:r>
    </w:p>
    <w:p w14:paraId="7600FDD4" w14:textId="77777777" w:rsidR="00B678ED" w:rsidRDefault="00000000">
      <w:pPr>
        <w:spacing w:after="60" w:line="360" w:lineRule="auto"/>
        <w:ind w:left="720"/>
        <w:jc w:val="both"/>
      </w:pPr>
      <w:r>
        <w:rPr>
          <w:rFonts w:eastAsia="Times New Roman"/>
        </w:rPr>
        <w:t xml:space="preserve">•  </w:t>
      </w:r>
      <w:r>
        <w:rPr>
          <w:rFonts w:eastAsia="Times New Roman"/>
          <w:b/>
        </w:rPr>
        <w:t>T+2 settlement cycle</w:t>
      </w:r>
      <w:r>
        <w:rPr>
          <w:rFonts w:eastAsia="Times New Roman"/>
        </w:rPr>
        <w:t xml:space="preserve"> (Vietnam Securities Depository, n.d.): Influences volume interpretation and position management assumptions</w:t>
      </w:r>
    </w:p>
    <w:p w14:paraId="1F16B171" w14:textId="77777777" w:rsidR="00B678ED" w:rsidRDefault="00000000">
      <w:pPr>
        <w:spacing w:after="60" w:line="360" w:lineRule="auto"/>
        <w:ind w:left="720"/>
        <w:jc w:val="both"/>
      </w:pPr>
      <w:r>
        <w:rPr>
          <w:rFonts w:eastAsia="Times New Roman"/>
        </w:rPr>
        <w:t xml:space="preserve">•  </w:t>
      </w:r>
      <w:r>
        <w:rPr>
          <w:rFonts w:eastAsia="Times New Roman"/>
          <w:b/>
        </w:rPr>
        <w:t>Daily price limits (±7%):</w:t>
      </w:r>
      <w:r>
        <w:rPr>
          <w:rFonts w:eastAsia="Times New Roman"/>
        </w:rPr>
        <w:t xml:space="preserve"> Truncate return distributions and affect volatility and tail-risk estimation, distinct from international markets</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w:t>
      </w:r>
      <w:r>
        <w:rPr>
          <w:rFonts w:eastAsia="Times New Roman"/>
        </w:rPr>
        <w:fldChar w:fldCharType="end"/>
      </w:r>
      <w:r>
        <w:rPr>
          <w:rFonts w:eastAsia="Times New Roman"/>
        </w:rPr>
        <w:t xml:space="preserve"> presents descriptive statistics for the OHLCV price series dataset collected from </w:t>
      </w:r>
      <w:proofErr w:type="spellStart"/>
      <w:r>
        <w:rPr>
          <w:rFonts w:eastAsia="Times New Roman"/>
        </w:rPr>
        <w:t>vnstock</w:t>
      </w:r>
      <w:proofErr w:type="spellEnd"/>
      <w:r>
        <w:rPr>
          <w:rFonts w:eastAsia="Times New Roman"/>
        </w:rPr>
        <w:t xml:space="preserve"> (Thinh Vu, 2023), </w:t>
      </w:r>
      <w:proofErr w:type="spellStart"/>
      <w:r>
        <w:rPr>
          <w:rFonts w:eastAsia="Times New Roman"/>
        </w:rPr>
        <w:t>characterising</w:t>
      </w:r>
      <w:proofErr w:type="spellEnd"/>
      <w:r>
        <w:rPr>
          <w:rFonts w:eastAsia="Times New Roman"/>
        </w:rPr>
        <w:t xml:space="preserve"> the data distribution prior to strategy analysis. Prices are expressed in Vietnamese Dong (VND); daily return is computed as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volume is measured in shares.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established quantitative finance methods adapted for the Vietnamese market context.</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w:t>
      </w:r>
      <w:proofErr w:type="spellEnd"/>
      <w:r>
        <w:rPr>
          <w:rFonts w:eastAsia="Times New Roman"/>
          <w:b/>
        </w:rPr>
        <w:t>.</w:t>
      </w:r>
      <w:r>
        <w:rPr>
          <w:rFonts w:eastAsia="Times New Roman"/>
        </w:rPr>
        <w:t xml:space="preserve"> Strategy evaluation uses a next-bar execution model by default signals generated at bar </w:t>
      </w:r>
      <w:r>
        <w:rPr>
          <w:rFonts w:eastAsia="Times New Roman"/>
          <w:i/>
        </w:rPr>
        <w:t>t</w:t>
      </w:r>
      <w:r>
        <w:rPr>
          <w:rFonts w:eastAsia="Times New Roman"/>
        </w:rPr>
        <w:t xml:space="preserve"> are executed at the open of bar </w:t>
      </w:r>
      <w:r>
        <w:rPr>
          <w:rFonts w:eastAsia="Times New Roman"/>
          <w:i/>
        </w:rPr>
        <w:t>t+1</w:t>
      </w:r>
      <w:r w:rsidR="001A7A20">
        <w:rPr>
          <w:rFonts w:eastAsia="Times New Roman"/>
        </w:rPr>
        <w:t xml:space="preserve"> </w:t>
      </w:r>
      <w:r>
        <w:rPr>
          <w:rFonts w:eastAsia="Times New Roman"/>
        </w:rPr>
        <w:t>to reduce look-ahead bias (Bailey et al., 2016). Transaction costs (brokerage fee, sell tax, slippage) are modelled explicitly, and performance is reported as both gross (before costs) and net (after costs) to enable attribution.</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uses a retrieval-augmented generation (RAG) approach (Lewis et al., 2020), but adapted for internal tool-grounding. Instead of retrieving documents from the web, it calls the platform’s own quantitative services</w:t>
      </w:r>
      <w:r w:rsidR="005C53C5">
        <w:rPr>
          <w:rFonts w:eastAsia="Times New Roman"/>
        </w:rPr>
        <w:t xml:space="preserve"> </w:t>
      </w:r>
      <w:proofErr w:type="spellStart"/>
      <w:r>
        <w:rPr>
          <w:rFonts w:eastAsia="Times New Roman"/>
        </w:rPr>
        <w:t>backtesting</w:t>
      </w:r>
      <w:proofErr w:type="spellEnd"/>
      <w:r>
        <w:rPr>
          <w:rFonts w:eastAsia="Times New Roman"/>
        </w:rPr>
        <w:t>, risk analysis, factor computation, market data</w:t>
      </w:r>
      <w:r w:rsidR="005C53C5">
        <w:rPr>
          <w:rFonts w:eastAsia="Times New Roman"/>
        </w:rPr>
        <w:t xml:space="preserve"> </w:t>
      </w:r>
      <w:r>
        <w:rPr>
          <w:rFonts w:eastAsia="Times New Roman"/>
        </w:rPr>
        <w:t>and uses the returned values as evidence for its answers.</w:t>
      </w:r>
      <w:r w:rsidR="005C53C5">
        <w:t xml:space="preserve"> </w:t>
      </w:r>
      <w:r>
        <w:rPr>
          <w:rFonts w:eastAsia="Times New Roman"/>
        </w:rPr>
        <w:t>Before generating any response that involves numbers, the assistant runs through a policy gate: are the relevant tools actually called? Did they return valid results? If not, the assistant will say so and decline rather than guessing. The reasoning is straightforward</w:t>
      </w:r>
      <w:r w:rsidR="00DF4DC8">
        <w:rPr>
          <w:rFonts w:eastAsia="Times New Roman"/>
        </w:rPr>
        <w:t xml:space="preserve"> </w:t>
      </w:r>
      <w:r>
        <w:rPr>
          <w:rFonts w:eastAsia="Times New Roman"/>
        </w:rPr>
        <w:t xml:space="preserve">in </w:t>
      </w:r>
      <w:proofErr w:type="gramStart"/>
      <w:r>
        <w:rPr>
          <w:rFonts w:eastAsia="Times New Roman"/>
        </w:rPr>
        <w:t>finance,</w:t>
      </w:r>
      <w:proofErr w:type="gramEnd"/>
      <w:r>
        <w:rPr>
          <w:rFonts w:eastAsia="Times New Roman"/>
        </w:rPr>
        <w:t xml:space="preserve"> a confidently wrong number is worse than no answer at all. This is consistent with </w:t>
      </w:r>
      <w:proofErr w:type="spellStart"/>
      <w:r>
        <w:rPr>
          <w:rFonts w:eastAsia="Times New Roman"/>
        </w:rPr>
        <w:t>Rajpurkar</w:t>
      </w:r>
      <w:proofErr w:type="spellEnd"/>
      <w:r>
        <w:rPr>
          <w:rFonts w:eastAsia="Times New Roman"/>
        </w:rPr>
        <w:t xml:space="preserve"> et al. (2018), who argued that </w:t>
      </w:r>
      <w:proofErr w:type="spellStart"/>
      <w:r>
        <w:rPr>
          <w:rFonts w:eastAsia="Times New Roman"/>
        </w:rPr>
        <w:t>recognising</w:t>
      </w:r>
      <w:proofErr w:type="spellEnd"/>
      <w:r>
        <w:rPr>
          <w:rFonts w:eastAsia="Times New Roman"/>
        </w:rPr>
        <w:t xml:space="preserve"> when a system cannot answer is just as important as answering correctly.</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2 are evaluated against the evidence gathered from platform development and demonstration. Results are discussed in </w:t>
      </w:r>
      <w:r w:rsidR="00D765E6">
        <w:rPr>
          <w:rFonts w:eastAsia="Times New Roman"/>
        </w:rPr>
        <w:t>Section</w:t>
      </w:r>
      <w:r>
        <w:rPr>
          <w:rFonts w:eastAsia="Times New Roman"/>
        </w:rPr>
        <w:t xml:space="preserve"> 4 (Section 4.7.5) and </w:t>
      </w:r>
      <w:proofErr w:type="spellStart"/>
      <w:r>
        <w:rPr>
          <w:rFonts w:eastAsia="Times New Roman"/>
        </w:rPr>
        <w:t>summarised</w:t>
      </w:r>
      <w:proofErr w:type="spellEnd"/>
      <w:r>
        <w:rPr>
          <w:rFonts w:eastAsia="Times New Roman"/>
        </w:rPr>
        <w:t xml:space="preserve"> in Appendix A.</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w:t>
      </w:r>
      <w:r w:rsidR="00D765E6">
        <w:rPr>
          <w:rFonts w:eastAsia="Times New Roman"/>
        </w:rPr>
        <w:t>section</w:t>
      </w:r>
      <w:r>
        <w:rPr>
          <w:rFonts w:eastAsia="Times New Roman"/>
        </w:rPr>
        <w:t xml:space="preserve"> presents the research results of </w:t>
      </w:r>
      <w:proofErr w:type="spellStart"/>
      <w:r>
        <w:rPr>
          <w:rFonts w:eastAsia="Times New Roman"/>
        </w:rPr>
        <w:t>QuantVN</w:t>
      </w:r>
      <w:proofErr w:type="spellEnd"/>
      <w:r>
        <w:rPr>
          <w:rFonts w:eastAsia="Times New Roman"/>
        </w:rPr>
        <w:t xml:space="preserve"> Strategy Forge, focusing on how each core capability addresses the identified gaps in quantitative tools for Vietnamese retail investors.</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has been developed as a web-based quantitative analysis platform for the Ho Chi Minh Stock Exchange (HOSE). The platform covers 412 HOSE-listed symbols with 768,718 daily price records from 2018 to 2025, supplemented by quarterly financial statements (balance sheets, income statements, and cash flow statements). </w:t>
      </w:r>
      <w:r w:rsidR="005C53C5">
        <w:rPr>
          <w:rFonts w:eastAsia="Times New Roman"/>
        </w:rPr>
        <w:t xml:space="preserve">Figure 1 </w:t>
      </w:r>
      <w:r>
        <w:rPr>
          <w:rFonts w:eastAsia="Times New Roman"/>
        </w:rPr>
        <w:t xml:space="preserve">shows the landing page, </w:t>
      </w:r>
      <w:proofErr w:type="spellStart"/>
      <w:r>
        <w:rPr>
          <w:rFonts w:eastAsia="Times New Roman"/>
        </w:rPr>
        <w:t>summarising</w:t>
      </w:r>
      <w:proofErr w:type="spellEnd"/>
      <w:r>
        <w:rPr>
          <w:rFonts w:eastAsia="Times New Roman"/>
        </w:rPr>
        <w:t xml:space="preserve"> the platform's scope.</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A core contribution of the platform is its </w:t>
      </w:r>
      <w:proofErr w:type="spellStart"/>
      <w:r>
        <w:rPr>
          <w:rFonts w:eastAsia="Times New Roman"/>
        </w:rPr>
        <w:t>backtesting</w:t>
      </w:r>
      <w:proofErr w:type="spellEnd"/>
      <w:r>
        <w:rPr>
          <w:rFonts w:eastAsia="Times New Roman"/>
        </w:rPr>
        <w:t xml:space="preserve"> engine, which incorporates Vietnamese market-specific parameters that are absent from most international tools:</w:t>
      </w:r>
    </w:p>
    <w:p w14:paraId="26E619E2" w14:textId="77777777" w:rsidR="00B678ED" w:rsidRDefault="00000000">
      <w:pPr>
        <w:spacing w:after="60" w:line="360" w:lineRule="auto"/>
        <w:ind w:left="720"/>
        <w:jc w:val="both"/>
      </w:pPr>
      <w:r>
        <w:rPr>
          <w:rFonts w:eastAsia="Times New Roman"/>
        </w:rPr>
        <w:t xml:space="preserve">•  </w:t>
      </w:r>
      <w:r>
        <w:rPr>
          <w:rFonts w:eastAsia="Times New Roman"/>
          <w:b/>
        </w:rPr>
        <w:t>Lot size:</w:t>
      </w:r>
      <w:r>
        <w:rPr>
          <w:rFonts w:eastAsia="Times New Roman"/>
        </w:rPr>
        <w:t xml:space="preserve"> 100 shares per HOSE trading regulation.</w:t>
      </w:r>
    </w:p>
    <w:p w14:paraId="647BB51D" w14:textId="77777777" w:rsidR="00B678ED" w:rsidRDefault="00000000">
      <w:pPr>
        <w:spacing w:after="60" w:line="360" w:lineRule="auto"/>
        <w:ind w:left="720"/>
        <w:jc w:val="both"/>
      </w:pPr>
      <w:r>
        <w:rPr>
          <w:rFonts w:eastAsia="Times New Roman"/>
        </w:rPr>
        <w:t xml:space="preserve">•  </w:t>
      </w:r>
      <w:r>
        <w:rPr>
          <w:rFonts w:eastAsia="Times New Roman"/>
          <w:b/>
        </w:rPr>
        <w:t>Transaction costs:</w:t>
      </w:r>
      <w:r>
        <w:rPr>
          <w:rFonts w:eastAsia="Times New Roman"/>
        </w:rPr>
        <w:t xml:space="preserve"> Brokerage fee (0.15%), sell-side tax (0.1%), and estimated slippage (0.05%).</w:t>
      </w:r>
    </w:p>
    <w:p w14:paraId="78DFF458" w14:textId="77777777" w:rsidR="00B678ED" w:rsidRDefault="00000000">
      <w:pPr>
        <w:spacing w:after="60" w:line="360" w:lineRule="auto"/>
        <w:ind w:left="720"/>
        <w:jc w:val="both"/>
      </w:pPr>
      <w:r>
        <w:rPr>
          <w:rFonts w:eastAsia="Times New Roman"/>
        </w:rPr>
        <w:t xml:space="preserve">•  </w:t>
      </w:r>
      <w:r>
        <w:rPr>
          <w:rFonts w:eastAsia="Times New Roman"/>
          <w:b/>
        </w:rPr>
        <w:t>Execution model:</w:t>
      </w:r>
      <w:r>
        <w:rPr>
          <w:rFonts w:eastAsia="Times New Roman"/>
        </w:rPr>
        <w:t xml:space="preserve"> Next-open price execution, reflecting realistic retail order fills.</w:t>
      </w:r>
    </w:p>
    <w:p w14:paraId="42ADD9DE" w14:textId="330612EC" w:rsidR="00B678ED" w:rsidRDefault="00000000">
      <w:pPr>
        <w:spacing w:after="120" w:line="360" w:lineRule="auto"/>
        <w:ind w:firstLine="720"/>
        <w:jc w:val="both"/>
      </w:pPr>
      <w:r>
        <w:rPr>
          <w:rFonts w:eastAsia="Times New Roman"/>
        </w:rPr>
        <w:t>These parameters matter because ignoring them</w:t>
      </w:r>
      <w:r w:rsidR="005C53C5">
        <w:rPr>
          <w:rFonts w:eastAsia="Times New Roman"/>
        </w:rPr>
        <w:t xml:space="preserve"> </w:t>
      </w:r>
      <w:r>
        <w:rPr>
          <w:rFonts w:eastAsia="Times New Roman"/>
        </w:rPr>
        <w:t>as generic international platforms do</w:t>
      </w:r>
      <w:r w:rsidR="005C53C5">
        <w:rPr>
          <w:rFonts w:eastAsia="Times New Roman"/>
        </w:rPr>
        <w:t xml:space="preserve"> </w:t>
      </w:r>
      <w:r>
        <w:rPr>
          <w:rFonts w:eastAsia="Times New Roman"/>
        </w:rPr>
        <w:t>can make strategies look more profitable than they actually are, especially for approaches with small per-trade margins. The platform supports five strategy types: SMA Crossover, EMA Crossover, RSI Mean Reversion, Bollinger Bands, and Momentum.</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Backtesting</w:t>
      </w:r>
      <w:proofErr w:type="spellEnd"/>
      <w:r w:rsidRPr="00403736">
        <w:rPr>
          <w:i w:val="0"/>
          <w:iCs w:val="0"/>
          <w:sz w:val="24"/>
          <w:szCs w:val="24"/>
        </w:rPr>
        <w:t xml:space="preserve"> process flow integrating data quality validation and Vietnamese market cost parameters.</w:t>
      </w:r>
      <w:bookmarkEnd w:id="36"/>
    </w:p>
    <w:p w14:paraId="4A86F9C3" w14:textId="77777777" w:rsidR="00B678ED" w:rsidRDefault="00000000">
      <w:pPr>
        <w:spacing w:after="120" w:line="360" w:lineRule="auto"/>
        <w:ind w:firstLine="720"/>
        <w:jc w:val="both"/>
      </w:pPr>
      <w:r>
        <w:rPr>
          <w:rFonts w:eastAsia="Times New Roman"/>
        </w:rPr>
        <w:t xml:space="preserve">Each </w:t>
      </w:r>
      <w:proofErr w:type="spellStart"/>
      <w:r>
        <w:rPr>
          <w:rFonts w:eastAsia="Times New Roman"/>
        </w:rPr>
        <w:t>backtest</w:t>
      </w:r>
      <w:proofErr w:type="spellEnd"/>
      <w:r>
        <w:rPr>
          <w:rFonts w:eastAsia="Times New Roman"/>
        </w:rPr>
        <w:t xml:space="preserve"> produces performance metrics including total return, CAGR, Sharpe ratio, Sortino ratio, maximum drawdown, win rate, and profit factor, alongside data quality diagnostics (coverage ratio, largest data gap, usable rows) that allow investors to assess result reliability.</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no-code, drag-and-drop interface for constructing custom trading strategies. Users compose strategies by connecting functional nodes on an interactive canvas</w:t>
      </w:r>
      <w:r w:rsidR="005C53C5">
        <w:rPr>
          <w:rFonts w:eastAsia="Times New Roman"/>
        </w:rPr>
        <w:t xml:space="preserve"> </w:t>
      </w:r>
      <w:r>
        <w:rPr>
          <w:rFonts w:eastAsia="Times New Roman"/>
        </w:rPr>
        <w:t>data sources, technical indicators, condition filters, and output metrics</w:t>
      </w:r>
      <w:r w:rsidR="005C53C5">
        <w:rPr>
          <w:rFonts w:eastAsia="Times New Roman"/>
        </w:rPr>
        <w:t xml:space="preserve"> </w:t>
      </w:r>
      <w:r>
        <w:rPr>
          <w:rFonts w:eastAsia="Times New Roman"/>
        </w:rPr>
        <w:t xml:space="preserve">without writing code. </w:t>
      </w:r>
      <w:r w:rsidR="005C53C5">
        <w:rPr>
          <w:rFonts w:eastAsia="Times New Roman"/>
        </w:rPr>
        <w:t xml:space="preserve">Figure 4 </w:t>
      </w:r>
      <w:r>
        <w:rPr>
          <w:rFonts w:eastAsia="Times New Roman"/>
        </w:rPr>
        <w:t>demonstrates a complete RSI Reversal strategy.</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4</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Visual Strategy Builder showing a drag-and-drop</w:t>
      </w:r>
      <w:bookmarkEnd w:id="38"/>
    </w:p>
    <w:p w14:paraId="2CF3112D" w14:textId="77777777" w:rsidR="00B678ED" w:rsidRDefault="00000000">
      <w:pPr>
        <w:spacing w:after="120" w:line="360" w:lineRule="auto"/>
        <w:ind w:firstLine="720"/>
        <w:jc w:val="both"/>
      </w:pPr>
      <w:r>
        <w:rPr>
          <w:rFonts w:eastAsia="Times New Roman"/>
        </w:rPr>
        <w:t xml:space="preserve">This visual approach lowers the barrier to quantitative strategy development, enabling retail investors to experiment with trading logic that traditionally requires programming expertise. Strategies built in the canvas can be directly </w:t>
      </w:r>
      <w:proofErr w:type="spellStart"/>
      <w:r>
        <w:rPr>
          <w:rFonts w:eastAsia="Times New Roman"/>
        </w:rPr>
        <w:t>backtested</w:t>
      </w:r>
      <w:proofErr w:type="spellEnd"/>
      <w:r>
        <w:rPr>
          <w:rFonts w:eastAsia="Times New Roman"/>
        </w:rPr>
        <w:t xml:space="preserve"> against historical HOSE data.</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implements four portfolio </w:t>
      </w:r>
      <w:proofErr w:type="spellStart"/>
      <w:r>
        <w:rPr>
          <w:rFonts w:eastAsia="Times New Roman"/>
        </w:rPr>
        <w:t>optimisation</w:t>
      </w:r>
      <w:proofErr w:type="spellEnd"/>
      <w:r>
        <w:rPr>
          <w:rFonts w:eastAsia="Times New Roman"/>
        </w:rPr>
        <w:t xml:space="preserve"> methods suited to different investor profiles: Mean-Variance (Markowitz), Risk Parity, Minimum Variance, and Maximum Sharpe. The </w:t>
      </w:r>
      <w:proofErr w:type="spellStart"/>
      <w:r>
        <w:rPr>
          <w:rFonts w:eastAsia="Times New Roman"/>
        </w:rPr>
        <w:t>optimiser</w:t>
      </w:r>
      <w:proofErr w:type="spellEnd"/>
      <w:r>
        <w:rPr>
          <w:rFonts w:eastAsia="Times New Roman"/>
        </w:rPr>
        <w:t xml:space="preserve"> automatically excludes assets with insufficient trading history (fewer than 60 days) or inadequate pairwise data overlap (below 30 days), which prevents the kind of unreliable allocations that can result from sparse data</w:t>
      </w:r>
      <w:r w:rsidR="005C53C5">
        <w:rPr>
          <w:rFonts w:eastAsia="Times New Roman"/>
        </w:rPr>
        <w:t xml:space="preserve"> </w:t>
      </w:r>
      <w:r>
        <w:rPr>
          <w:rFonts w:eastAsia="Times New Roman"/>
        </w:rPr>
        <w:t>particularly for symbols with shorter listing histories on HOSE.</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give retail investors access to the same risk management toolkit that institutional fund managers use.</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that answers financial analysis questions by computing results through the platform’s own internal modules. When a user asks about a specific metric</w:t>
      </w:r>
      <w:r w:rsidR="005C53C5">
        <w:rPr>
          <w:rFonts w:eastAsia="Times New Roman"/>
        </w:rPr>
        <w:t xml:space="preserve"> </w:t>
      </w:r>
      <w:r>
        <w:rPr>
          <w:rFonts w:eastAsia="Times New Roman"/>
        </w:rPr>
        <w:t>say, the Sharpe ratio of a particular strategy</w:t>
      </w:r>
      <w:r w:rsidR="005C53C5">
        <w:rPr>
          <w:rFonts w:eastAsia="Times New Roman"/>
        </w:rPr>
        <w:t xml:space="preserve"> </w:t>
      </w:r>
      <w:r>
        <w:rPr>
          <w:rFonts w:eastAsia="Times New Roman"/>
        </w:rPr>
        <w:t>the assistant calls the relevant tool, retrieves the computed value, and builds its response around that number with an explicit data reference.</w:t>
      </w:r>
      <w:r w:rsidR="005C53C5">
        <w:t xml:space="preserve"> </w:t>
      </w:r>
      <w:r>
        <w:rPr>
          <w:rFonts w:eastAsia="Times New Roman"/>
        </w:rPr>
        <w:t>The key design choice is what happens when the assistant cannot ground a claim. Rather than generating a plausible-sounding number, it declines and explains why. This is deliberately conservative: in a financial context, a wrong number that sounds authoritative can cause more harm than saying "I don’t have enough data to answer that."</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The gap from </w:t>
      </w:r>
      <w:r w:rsidR="00D765E6">
        <w:rPr>
          <w:rFonts w:eastAsia="Times New Roman"/>
        </w:rPr>
        <w:t xml:space="preserve">Section </w:t>
      </w:r>
      <w:r>
        <w:rPr>
          <w:rFonts w:eastAsia="Times New Roman"/>
        </w:rPr>
        <w:t xml:space="preserve">1 and 2 is clear: institutional investors in Vietnam use terminals like Bloomberg and </w:t>
      </w:r>
      <w:proofErr w:type="spellStart"/>
      <w:r>
        <w:rPr>
          <w:rFonts w:eastAsia="Times New Roman"/>
        </w:rPr>
        <w:t>FiinPro</w:t>
      </w:r>
      <w:proofErr w:type="spellEnd"/>
      <w:r>
        <w:rPr>
          <w:rFonts w:eastAsia="Times New Roman"/>
        </w:rPr>
        <w:t>, but retail investors</w:t>
      </w:r>
      <w:r w:rsidR="00D765E6">
        <w:rPr>
          <w:rFonts w:eastAsia="Times New Roman"/>
        </w:rPr>
        <w:t xml:space="preserve"> </w:t>
      </w:r>
      <w:r>
        <w:rPr>
          <w:rFonts w:eastAsia="Times New Roman"/>
        </w:rPr>
        <w:t>who make up over 80% of daily HOSE volume</w:t>
      </w:r>
      <w:r w:rsidR="00D765E6">
        <w:rPr>
          <w:rFonts w:eastAsia="Times New Roman"/>
        </w:rPr>
        <w:t xml:space="preserve"> </w:t>
      </w:r>
      <w:r>
        <w:rPr>
          <w:rFonts w:eastAsia="Times New Roman"/>
        </w:rPr>
        <w:t xml:space="preserve">have had no integrated quantitative toolset. </w:t>
      </w:r>
      <w:proofErr w:type="spellStart"/>
      <w:r>
        <w:rPr>
          <w:rFonts w:eastAsia="Times New Roman"/>
        </w:rPr>
        <w:t>QuantVN</w:t>
      </w:r>
      <w:proofErr w:type="spellEnd"/>
      <w:r>
        <w:rPr>
          <w:rFonts w:eastAsia="Times New Roman"/>
        </w:rPr>
        <w:t xml:space="preserve"> Strategy Forge is built to fill that space, putting screening,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xml:space="preserve">, </w:t>
      </w:r>
      <w:r>
        <w:rPr>
          <w:rFonts w:eastAsia="Times New Roman"/>
        </w:rPr>
        <w:lastRenderedPageBreak/>
        <w:t>and risk assessment into one browser-based interface tailored for the Vietnamese market.</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Integrating HOSE's 100-share lot size, Vietnam's sell-side tax, and realistic execution assumptions into the </w:t>
      </w:r>
      <w:proofErr w:type="spellStart"/>
      <w:r>
        <w:rPr>
          <w:rFonts w:eastAsia="Times New Roman"/>
        </w:rPr>
        <w:t>backtesting</w:t>
      </w:r>
      <w:proofErr w:type="spellEnd"/>
      <w:r>
        <w:rPr>
          <w:rFonts w:eastAsia="Times New Roman"/>
        </w:rPr>
        <w:t xml:space="preserve"> engine makes a practical difference. Without these, strategies can look profitable in simulation while actually being unprofitable after local costs are factored in. This is not a theoretical concern</w:t>
      </w:r>
      <w:r w:rsidR="00D765E6">
        <w:rPr>
          <w:rFonts w:eastAsia="Times New Roman"/>
        </w:rPr>
        <w:t xml:space="preserve"> </w:t>
      </w:r>
      <w:r>
        <w:rPr>
          <w:rFonts w:eastAsia="Times New Roman"/>
        </w:rPr>
        <w:t>it directly affects how retail investors allocate capital.</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traces every result back to verified inputs. Because the platform uses </w:t>
      </w:r>
      <w:proofErr w:type="spellStart"/>
      <w:r>
        <w:rPr>
          <w:rFonts w:eastAsia="Times New Roman"/>
        </w:rPr>
        <w:t>vnstock</w:t>
      </w:r>
      <w:proofErr w:type="spellEnd"/>
      <w:r w:rsidR="00D765E6">
        <w:rPr>
          <w:rFonts w:eastAsia="Times New Roman"/>
        </w:rPr>
        <w:t xml:space="preserve"> </w:t>
      </w:r>
      <w:r>
        <w:rPr>
          <w:rFonts w:eastAsia="Times New Roman"/>
        </w:rPr>
        <w:t>a free but raw data source</w:t>
      </w:r>
      <w:r w:rsidR="00D765E6">
        <w:rPr>
          <w:rFonts w:eastAsia="Times New Roman"/>
        </w:rPr>
        <w:t xml:space="preserve"> </w:t>
      </w:r>
      <w:r>
        <w:rPr>
          <w:rFonts w:eastAsia="Times New Roman"/>
        </w:rPr>
        <w:t>corporate action gaps, trading halts, and coverage variations need to be handled explicitly. The pipeline makes these trade-offs visible rather than hiding them.</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w:t>
      </w:r>
      <w:proofErr w:type="spellEnd"/>
      <w:r>
        <w:rPr>
          <w:rFonts w:eastAsia="Times New Roman"/>
        </w:rPr>
        <w:t xml:space="preserve"> results are historical and should not be read as predictions of future performance. Only technical analysis strategies are currently supported</w:t>
      </w:r>
      <w:r w:rsidR="00D765E6">
        <w:rPr>
          <w:rFonts w:eastAsia="Times New Roman"/>
        </w:rPr>
        <w:t xml:space="preserve"> </w:t>
      </w:r>
      <w:r>
        <w:rPr>
          <w:rFonts w:eastAsia="Times New Roman"/>
        </w:rPr>
        <w:t xml:space="preserve">fundamental and event-driven strategies are not yet available. Coverage is limited to HOSE; the HNX and </w:t>
      </w:r>
      <w:proofErr w:type="spellStart"/>
      <w:r>
        <w:rPr>
          <w:rFonts w:eastAsia="Times New Roman"/>
        </w:rPr>
        <w:t>UPCoM</w:t>
      </w:r>
      <w:proofErr w:type="spellEnd"/>
      <w:r>
        <w:rPr>
          <w:rFonts w:eastAsia="Times New Roman"/>
        </w:rPr>
        <w:t xml:space="preserve"> exchanges are not included.</w:t>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The results presented in this </w:t>
      </w:r>
      <w:r w:rsidR="00D765E6">
        <w:rPr>
          <w:rFonts w:eastAsia="Times New Roman"/>
        </w:rPr>
        <w:t>section</w:t>
      </w:r>
      <w:r>
        <w:rPr>
          <w:rFonts w:eastAsia="Times New Roman"/>
        </w:rPr>
        <w:t xml:space="preserve"> allow the research hypotheses (formulated in </w:t>
      </w:r>
      <w:r w:rsidR="00D765E6">
        <w:rPr>
          <w:rFonts w:eastAsia="Times New Roman"/>
        </w:rPr>
        <w:t>Section 2</w:t>
      </w:r>
      <w:r>
        <w:rPr>
          <w:rFonts w:eastAsia="Times New Roman"/>
        </w:rPr>
        <w:t>) to be evaluated as follows:</w:t>
      </w:r>
    </w:p>
    <w:p w14:paraId="2FCE89F6" w14:textId="57571C74" w:rsidR="00B678ED" w:rsidRDefault="00000000">
      <w:pPr>
        <w:spacing w:after="60" w:line="360" w:lineRule="auto"/>
        <w:ind w:left="720"/>
        <w:jc w:val="both"/>
      </w:pPr>
      <w:r>
        <w:rPr>
          <w:rFonts w:eastAsia="Times New Roman"/>
        </w:rPr>
        <w:t xml:space="preserve">•  </w:t>
      </w:r>
      <w:r>
        <w:rPr>
          <w:rFonts w:eastAsia="Times New Roman"/>
          <w:b/>
        </w:rPr>
        <w:t>H1</w:t>
      </w:r>
      <w:r>
        <w:rPr>
          <w:rFonts w:eastAsia="Times New Roman"/>
        </w:rPr>
        <w:t xml:space="preserve"> </w:t>
      </w:r>
      <w:r>
        <w:rPr>
          <w:rFonts w:eastAsia="Times New Roman"/>
          <w:i/>
        </w:rPr>
        <w:t>(Platform accessibility without programming knowledge)</w:t>
      </w:r>
      <w:r w:rsidR="00DF4DC8">
        <w:rPr>
          <w:rFonts w:eastAsia="Times New Roman"/>
        </w:rPr>
        <w:t xml:space="preserve"> </w:t>
      </w:r>
      <w:r>
        <w:rPr>
          <w:rFonts w:eastAsia="Times New Roman"/>
          <w:b/>
        </w:rPr>
        <w:t>Supported.</w:t>
      </w:r>
      <w:r>
        <w:rPr>
          <w:rFonts w:eastAsia="Times New Roman"/>
        </w:rPr>
        <w:t xml:space="preserve"> The platform is fully browser-based with 8 modules covering all identified analytical gaps (</w:t>
      </w:r>
      <w:r w:rsidR="00DF4DC8">
        <w:rPr>
          <w:rFonts w:eastAsia="Times New Roman"/>
        </w:rPr>
        <w:t>Table 2</w:t>
      </w:r>
      <w:r>
        <w:rPr>
          <w:rFonts w:eastAsia="Times New Roman"/>
        </w:rPr>
        <w:t>). No installation or coding is required.</w:t>
      </w:r>
    </w:p>
    <w:p w14:paraId="218F6A73" w14:textId="1FA5E887" w:rsidR="00B678ED" w:rsidRDefault="00000000">
      <w:pPr>
        <w:spacing w:after="60" w:line="360" w:lineRule="auto"/>
        <w:ind w:left="720"/>
        <w:jc w:val="both"/>
      </w:pPr>
      <w:r>
        <w:rPr>
          <w:rFonts w:eastAsia="Times New Roman"/>
        </w:rPr>
        <w:t xml:space="preserve">•  </w:t>
      </w:r>
      <w:r>
        <w:rPr>
          <w:rFonts w:eastAsia="Times New Roman"/>
          <w:b/>
        </w:rPr>
        <w:t>H2</w:t>
      </w:r>
      <w:r>
        <w:rPr>
          <w:rFonts w:eastAsia="Times New Roman"/>
        </w:rPr>
        <w:t xml:space="preserve"> </w:t>
      </w:r>
      <w:r>
        <w:rPr>
          <w:rFonts w:eastAsia="Times New Roman"/>
          <w:i/>
        </w:rPr>
        <w:t xml:space="preserve">(Vietnamese market parameters improve </w:t>
      </w:r>
      <w:proofErr w:type="spellStart"/>
      <w:r>
        <w:rPr>
          <w:rFonts w:eastAsia="Times New Roman"/>
          <w:i/>
        </w:rPr>
        <w:t>backtest</w:t>
      </w:r>
      <w:proofErr w:type="spellEnd"/>
      <w:r>
        <w:rPr>
          <w:rFonts w:eastAsia="Times New Roman"/>
          <w:i/>
        </w:rPr>
        <w:t xml:space="preserve"> realism)</w:t>
      </w:r>
      <w:r w:rsidR="00DF4DC8">
        <w:rPr>
          <w:rFonts w:eastAsia="Times New Roman"/>
        </w:rPr>
        <w:t xml:space="preserve"> </w:t>
      </w:r>
      <w:r>
        <w:rPr>
          <w:rFonts w:eastAsia="Times New Roman"/>
          <w:b/>
        </w:rPr>
        <w:t>Supported.</w:t>
      </w:r>
      <w:r>
        <w:rPr>
          <w:rFonts w:eastAsia="Times New Roman"/>
        </w:rPr>
        <w:t xml:space="preserve"> Section 4.3 demonstrates integration of HOSE's 100-share lot size, local </w:t>
      </w:r>
      <w:r>
        <w:rPr>
          <w:rFonts w:eastAsia="Times New Roman"/>
        </w:rPr>
        <w:lastRenderedPageBreak/>
        <w:t>transaction costs, and next-open execution all absent from existing international tools.</w:t>
      </w:r>
    </w:p>
    <w:p w14:paraId="15F38D94" w14:textId="5EBAF3D9" w:rsidR="00B678ED" w:rsidRDefault="00000000">
      <w:pPr>
        <w:spacing w:after="60" w:line="360" w:lineRule="auto"/>
        <w:ind w:left="720"/>
        <w:jc w:val="both"/>
      </w:pPr>
      <w:r>
        <w:rPr>
          <w:rFonts w:eastAsia="Times New Roman"/>
        </w:rPr>
        <w:t xml:space="preserve">•  </w:t>
      </w:r>
      <w:r>
        <w:rPr>
          <w:rFonts w:eastAsia="Times New Roman"/>
          <w:b/>
        </w:rPr>
        <w:t>H3</w:t>
      </w:r>
      <w:r>
        <w:rPr>
          <w:rFonts w:eastAsia="Times New Roman"/>
        </w:rPr>
        <w:t xml:space="preserve"> </w:t>
      </w:r>
      <w:r>
        <w:rPr>
          <w:rFonts w:eastAsia="Times New Roman"/>
          <w:i/>
        </w:rPr>
        <w:t xml:space="preserve">(No-code strategy builder for non-technical </w:t>
      </w:r>
      <w:proofErr w:type="gramStart"/>
      <w:r>
        <w:rPr>
          <w:rFonts w:eastAsia="Times New Roman"/>
          <w:i/>
        </w:rPr>
        <w:t>investors)</w:t>
      </w:r>
      <w:r>
        <w:rPr>
          <w:rFonts w:eastAsia="Times New Roman"/>
        </w:rPr>
        <w:t xml:space="preserve"> </w:t>
      </w:r>
      <w:r w:rsidR="00DF4DC8">
        <w:rPr>
          <w:rFonts w:eastAsia="Times New Roman"/>
        </w:rPr>
        <w:t xml:space="preserve"> </w:t>
      </w:r>
      <w:r>
        <w:rPr>
          <w:rFonts w:eastAsia="Times New Roman"/>
          <w:b/>
        </w:rPr>
        <w:t>Supported</w:t>
      </w:r>
      <w:proofErr w:type="gramEnd"/>
      <w:r>
        <w:rPr>
          <w:rFonts w:eastAsia="Times New Roman"/>
          <w:b/>
        </w:rPr>
        <w:t>.</w:t>
      </w:r>
      <w:r>
        <w:rPr>
          <w:rFonts w:eastAsia="Times New Roman"/>
        </w:rPr>
        <w:t xml:space="preserve"> Section 4.4 demonstrates end-to-end strategy construction without code, addressing the gap in HOSE-compatible no-code tools.</w:t>
      </w:r>
    </w:p>
    <w:p w14:paraId="3B8B2B67" w14:textId="6B57F70C" w:rsidR="00B678ED" w:rsidRDefault="00000000">
      <w:pPr>
        <w:spacing w:after="60" w:line="360" w:lineRule="auto"/>
        <w:ind w:left="720"/>
        <w:jc w:val="both"/>
      </w:pPr>
      <w:r>
        <w:rPr>
          <w:rFonts w:eastAsia="Times New Roman"/>
        </w:rPr>
        <w:t xml:space="preserve">•  </w:t>
      </w:r>
      <w:r>
        <w:rPr>
          <w:rFonts w:eastAsia="Times New Roman"/>
          <w:b/>
        </w:rPr>
        <w:t>H4</w:t>
      </w:r>
      <w:r>
        <w:rPr>
          <w:rFonts w:eastAsia="Times New Roman"/>
        </w:rPr>
        <w:t xml:space="preserve"> </w:t>
      </w:r>
      <w:r>
        <w:rPr>
          <w:rFonts w:eastAsia="Times New Roman"/>
          <w:i/>
        </w:rPr>
        <w:t>(Data validation ensures reliability for open-source data)</w:t>
      </w:r>
      <w:r>
        <w:rPr>
          <w:rFonts w:eastAsia="Times New Roman"/>
        </w:rPr>
        <w:t xml:space="preserve"> </w:t>
      </w:r>
      <w:r>
        <w:rPr>
          <w:rFonts w:eastAsia="Times New Roman"/>
          <w:b/>
        </w:rPr>
        <w:t>Supported.</w:t>
      </w:r>
      <w:r>
        <w:rPr>
          <w:rFonts w:eastAsia="Times New Roman"/>
        </w:rPr>
        <w:t xml:space="preserve"> The pipeline validates 768,718 records with explicit quality gates and diagnostics reported alongside every </w:t>
      </w:r>
      <w:proofErr w:type="spellStart"/>
      <w:r>
        <w:rPr>
          <w:rFonts w:eastAsia="Times New Roman"/>
        </w:rPr>
        <w:t>backtest</w:t>
      </w:r>
      <w:proofErr w:type="spellEnd"/>
      <w:r>
        <w:rPr>
          <w:rFonts w:eastAsia="Times New Roman"/>
        </w:rPr>
        <w:t xml:space="preserve"> result.</w:t>
      </w:r>
    </w:p>
    <w:p w14:paraId="650CD094" w14:textId="47AFA608" w:rsidR="00B678ED" w:rsidRDefault="00000000">
      <w:pPr>
        <w:spacing w:after="60" w:line="360" w:lineRule="auto"/>
        <w:ind w:left="720"/>
        <w:jc w:val="both"/>
      </w:pPr>
      <w:r>
        <w:rPr>
          <w:rFonts w:eastAsia="Times New Roman"/>
        </w:rPr>
        <w:t xml:space="preserve">•  </w:t>
      </w:r>
      <w:r>
        <w:rPr>
          <w:rFonts w:eastAsia="Times New Roman"/>
          <w:b/>
        </w:rPr>
        <w:t>H5</w:t>
      </w:r>
      <w:r>
        <w:rPr>
          <w:rFonts w:eastAsia="Times New Roman"/>
        </w:rPr>
        <w:t xml:space="preserve"> </w:t>
      </w:r>
      <w:r>
        <w:rPr>
          <w:rFonts w:eastAsia="Times New Roman"/>
          <w:i/>
        </w:rPr>
        <w:t>(AI assistant with abstention avoids misleading outputs)</w:t>
      </w:r>
      <w:r w:rsidR="00DF4DC8">
        <w:rPr>
          <w:rFonts w:eastAsia="Times New Roman"/>
        </w:rPr>
        <w:t xml:space="preserve"> </w:t>
      </w:r>
      <w:r>
        <w:rPr>
          <w:rFonts w:eastAsia="Times New Roman"/>
          <w:b/>
        </w:rPr>
        <w:t>Partially Supported.</w:t>
      </w:r>
      <w:r>
        <w:rPr>
          <w:rFonts w:eastAsia="Times New Roman"/>
        </w:rPr>
        <w:t xml:space="preserve"> Section 4.6 demonstrates the grounding mechanism and abstention policy; formal user evaluation has not been conducted.</w:t>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This </w:t>
      </w:r>
      <w:r w:rsidR="00D765E6">
        <w:rPr>
          <w:rFonts w:eastAsia="Times New Roman"/>
        </w:rPr>
        <w:t>section</w:t>
      </w:r>
      <w:r>
        <w:rPr>
          <w:rFonts w:eastAsia="Times New Roman"/>
        </w:rPr>
        <w:t xml:space="preserve"> has walked through the core capabilities of </w:t>
      </w:r>
      <w:proofErr w:type="spellStart"/>
      <w:r>
        <w:rPr>
          <w:rFonts w:eastAsia="Times New Roman"/>
        </w:rPr>
        <w:t>QuantVN</w:t>
      </w:r>
      <w:proofErr w:type="spellEnd"/>
      <w:r>
        <w:rPr>
          <w:rFonts w:eastAsia="Times New Roman"/>
        </w:rPr>
        <w:t xml:space="preserve"> Strategy Forge and the evidence for each research hypothesis. The platform fills a practical gap: Vietnamese retail investors can now screen stocks, </w:t>
      </w:r>
      <w:proofErr w:type="spellStart"/>
      <w:r>
        <w:rPr>
          <w:rFonts w:eastAsia="Times New Roman"/>
        </w:rPr>
        <w:t>backtest</w:t>
      </w:r>
      <w:proofErr w:type="spellEnd"/>
      <w:r>
        <w:rPr>
          <w:rFonts w:eastAsia="Times New Roman"/>
        </w:rPr>
        <w:t xml:space="preserve"> strategies with local market parameters, </w:t>
      </w:r>
      <w:proofErr w:type="spellStart"/>
      <w:r>
        <w:rPr>
          <w:rFonts w:eastAsia="Times New Roman"/>
        </w:rPr>
        <w:t>optimise</w:t>
      </w:r>
      <w:proofErr w:type="spellEnd"/>
      <w:r>
        <w:rPr>
          <w:rFonts w:eastAsia="Times New Roman"/>
        </w:rPr>
        <w:t xml:space="preserve"> portfolios, and assess risk all in one interface, without needing to code or install anything.</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set out to design, build, and evaluate </w:t>
      </w:r>
      <w:proofErr w:type="spellStart"/>
      <w:r>
        <w:rPr>
          <w:rFonts w:eastAsia="Times New Roman"/>
        </w:rPr>
        <w:t>QuantVN</w:t>
      </w:r>
      <w:proofErr w:type="spellEnd"/>
      <w:r>
        <w:rPr>
          <w:rFonts w:eastAsia="Times New Roman"/>
        </w:rPr>
        <w:t xml:space="preserve"> Strategy Forge a web-based quantitative analysis platform for Vietnamese equities on HOSE. The motivation is simple: retail investors make up over 80% of daily HOSE trading volume, yet they have had no access to integrated quantitative tools of the kind that institutional investors take for granted.</w:t>
      </w:r>
    </w:p>
    <w:p w14:paraId="65F3B199" w14:textId="7A81D2C9" w:rsidR="00B678ED" w:rsidRDefault="00000000">
      <w:pPr>
        <w:spacing w:after="120" w:line="360" w:lineRule="auto"/>
        <w:ind w:firstLine="720"/>
        <w:jc w:val="both"/>
      </w:pPr>
      <w:r>
        <w:rPr>
          <w:rFonts w:eastAsia="Times New Roman"/>
        </w:rPr>
        <w:t xml:space="preserve">The platform brings together stock screening, interactive charting,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xml:space="preserve">, risk assessment, and AI-assisted analysis in a single browser-based interface. The </w:t>
      </w:r>
      <w:proofErr w:type="spellStart"/>
      <w:r>
        <w:rPr>
          <w:rFonts w:eastAsia="Times New Roman"/>
        </w:rPr>
        <w:t>backtesting</w:t>
      </w:r>
      <w:proofErr w:type="spellEnd"/>
      <w:r>
        <w:rPr>
          <w:rFonts w:eastAsia="Times New Roman"/>
        </w:rPr>
        <w:t xml:space="preserve"> engine is built around Vietnamese market realities: HOSE's 100-share lot size, applicable transaction costs, and next-open execution </w:t>
      </w:r>
      <w:proofErr w:type="gramStart"/>
      <w:r>
        <w:rPr>
          <w:rFonts w:eastAsia="Times New Roman"/>
        </w:rPr>
        <w:t xml:space="preserve">modelling </w:t>
      </w:r>
      <w:r w:rsidR="00D765E6">
        <w:rPr>
          <w:rFonts w:eastAsia="Times New Roman"/>
        </w:rPr>
        <w:t xml:space="preserve"> </w:t>
      </w:r>
      <w:r>
        <w:rPr>
          <w:rFonts w:eastAsia="Times New Roman"/>
        </w:rPr>
        <w:t>details</w:t>
      </w:r>
      <w:proofErr w:type="gramEnd"/>
      <w:r>
        <w:rPr>
          <w:rFonts w:eastAsia="Times New Roman"/>
        </w:rPr>
        <w:t xml:space="preserve"> that generic international tools do not account for.</w:t>
      </w:r>
    </w:p>
    <w:p w14:paraId="50F12714" w14:textId="32F8411D" w:rsidR="00B678ED" w:rsidRDefault="00000000">
      <w:pPr>
        <w:spacing w:after="120" w:line="360" w:lineRule="auto"/>
        <w:ind w:firstLine="720"/>
        <w:jc w:val="both"/>
      </w:pPr>
      <w:r>
        <w:rPr>
          <w:rFonts w:eastAsia="Times New Roman"/>
        </w:rPr>
        <w:t xml:space="preserve">Four of the five research hypotheses (H1–H4) are supported by the evidence presented in </w:t>
      </w:r>
      <w:r w:rsidR="00D765E6">
        <w:rPr>
          <w:rFonts w:eastAsia="Times New Roman"/>
        </w:rPr>
        <w:t>Section</w:t>
      </w:r>
      <w:r>
        <w:rPr>
          <w:rFonts w:eastAsia="Times New Roman"/>
        </w:rPr>
        <w:t xml:space="preserve"> 4: the platform is accessible without programming knowledge (H1), local market parameters are integrated into </w:t>
      </w:r>
      <w:proofErr w:type="spellStart"/>
      <w:r>
        <w:rPr>
          <w:rFonts w:eastAsia="Times New Roman"/>
        </w:rPr>
        <w:t>backtesting</w:t>
      </w:r>
      <w:proofErr w:type="spellEnd"/>
      <w:r>
        <w:rPr>
          <w:rFonts w:eastAsia="Times New Roman"/>
        </w:rPr>
        <w:t xml:space="preserve"> (H2), the visual Strategy Builder works without code (H3), and the data validation pipeline maintains analytical reliability for open-source data (H4). H5 is partially supported</w:t>
      </w:r>
      <w:r w:rsidR="00D765E6">
        <w:rPr>
          <w:rFonts w:eastAsia="Times New Roman"/>
        </w:rPr>
        <w:t xml:space="preserve"> </w:t>
      </w:r>
      <w:r>
        <w:rPr>
          <w:rFonts w:eastAsia="Times New Roman"/>
        </w:rPr>
        <w:t>the AI assistant's abstention mechanism functions as designed, but its effect on user trust has not been formally evaluated. Detailed evidence and limitations for each hypothesis are provided in Section 4.7.5 and Appendix A.</w:t>
      </w:r>
    </w:p>
    <w:p w14:paraId="4E7504B4" w14:textId="77777777" w:rsidR="00B678ED" w:rsidRDefault="00000000">
      <w:pPr>
        <w:spacing w:after="120" w:line="360" w:lineRule="auto"/>
        <w:ind w:firstLine="720"/>
        <w:jc w:val="both"/>
      </w:pPr>
      <w:r>
        <w:rPr>
          <w:rFonts w:eastAsia="Times New Roman"/>
        </w:rPr>
        <w:t xml:space="preserve">The main limitation across all hypotheses is the absence of formal user studies. The claims are grounded in design implementation and functional demonstration rather than controlled experiments with end users. This is an acknowledged trade-off: building a working platform was </w:t>
      </w:r>
      <w:proofErr w:type="spellStart"/>
      <w:r>
        <w:rPr>
          <w:rFonts w:eastAsia="Times New Roman"/>
        </w:rPr>
        <w:t>prioritised</w:t>
      </w:r>
      <w:proofErr w:type="spellEnd"/>
      <w:r>
        <w:rPr>
          <w:rFonts w:eastAsia="Times New Roman"/>
        </w:rPr>
        <w:t xml:space="preserve"> over running user evaluations within the scope of this thesis.</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Expand data coverage to include HNX and </w:t>
      </w:r>
      <w:proofErr w:type="spellStart"/>
      <w:r>
        <w:rPr>
          <w:rFonts w:eastAsia="Times New Roman"/>
        </w:rPr>
        <w:t>UPCoM</w:t>
      </w:r>
      <w:proofErr w:type="spellEnd"/>
      <w:r>
        <w:rPr>
          <w:rFonts w:eastAsia="Times New Roman"/>
        </w:rPr>
        <w:t xml:space="preserve"> exchanges, giving users a more complete picture of the Vietnamese equity market.</w:t>
      </w:r>
    </w:p>
    <w:p w14:paraId="45871725" w14:textId="77777777" w:rsidR="00B678ED" w:rsidRDefault="00000000">
      <w:pPr>
        <w:spacing w:after="60" w:line="360" w:lineRule="auto"/>
        <w:ind w:left="720"/>
        <w:jc w:val="both"/>
      </w:pPr>
      <w:r>
        <w:rPr>
          <w:rFonts w:eastAsia="Times New Roman"/>
        </w:rPr>
        <w:t xml:space="preserve">1.  Add corporate action adjustments (splits, dividends, rights issues) to historical price data. Without these, long-term </w:t>
      </w:r>
      <w:proofErr w:type="spellStart"/>
      <w:r>
        <w:rPr>
          <w:rFonts w:eastAsia="Times New Roman"/>
        </w:rPr>
        <w:t>backtests</w:t>
      </w:r>
      <w:proofErr w:type="spellEnd"/>
      <w:r>
        <w:rPr>
          <w:rFonts w:eastAsia="Times New Roman"/>
        </w:rPr>
        <w:t xml:space="preserve"> can produce misleading return calculations.</w:t>
      </w:r>
    </w:p>
    <w:p w14:paraId="6A8FB052" w14:textId="77777777" w:rsidR="00B678ED" w:rsidRDefault="00000000">
      <w:pPr>
        <w:spacing w:after="60" w:line="360" w:lineRule="auto"/>
        <w:ind w:left="720"/>
        <w:jc w:val="both"/>
      </w:pPr>
      <w:r>
        <w:rPr>
          <w:rFonts w:eastAsia="Times New Roman"/>
        </w:rPr>
        <w:t>1.  Move beyond purely technical strategies. Fundamental screening strategies (based on P/E, P/B, ROE) and multi-factor strategies that combine price and fundamental signals would significantly broaden the platform's usefulness.</w:t>
      </w:r>
    </w:p>
    <w:p w14:paraId="256C1760" w14:textId="48BA128A" w:rsidR="00B678ED" w:rsidRDefault="00000000">
      <w:pPr>
        <w:spacing w:after="60" w:line="360" w:lineRule="auto"/>
        <w:ind w:left="720"/>
        <w:jc w:val="both"/>
      </w:pPr>
      <w:r>
        <w:rPr>
          <w:rFonts w:eastAsia="Times New Roman"/>
        </w:rPr>
        <w:t xml:space="preserve">1.  Build a strategy-sharing community where users can publish, compare, and discuss </w:t>
      </w:r>
      <w:proofErr w:type="spellStart"/>
      <w:r>
        <w:rPr>
          <w:rFonts w:eastAsia="Times New Roman"/>
        </w:rPr>
        <w:t>backtested</w:t>
      </w:r>
      <w:proofErr w:type="spellEnd"/>
      <w:r>
        <w:rPr>
          <w:rFonts w:eastAsia="Times New Roman"/>
        </w:rPr>
        <w:t xml:space="preserve"> strategies turning the platform into a collaborative learning environment.</w:t>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Run comparative studies between the platform's </w:t>
      </w:r>
      <w:proofErr w:type="spellStart"/>
      <w:r>
        <w:rPr>
          <w:rFonts w:eastAsia="Times New Roman"/>
        </w:rPr>
        <w:t>backtesting</w:t>
      </w:r>
      <w:proofErr w:type="spellEnd"/>
      <w:r>
        <w:rPr>
          <w:rFonts w:eastAsia="Times New Roman"/>
        </w:rPr>
        <w:t xml:space="preserve"> outputs and actual trading records of Vietnamese retail investors. This would provide concrete evidence of whether systematic tools improve decision-making quality.</w:t>
      </w:r>
    </w:p>
    <w:p w14:paraId="5F3A0FE2" w14:textId="77777777" w:rsidR="00B678ED" w:rsidRDefault="00000000">
      <w:pPr>
        <w:spacing w:after="60" w:line="360" w:lineRule="auto"/>
        <w:ind w:left="720"/>
        <w:jc w:val="both"/>
      </w:pPr>
      <w:r>
        <w:rPr>
          <w:rFonts w:eastAsia="Times New Roman"/>
        </w:rPr>
        <w:t xml:space="preserve">1.  Test which portfolio </w:t>
      </w:r>
      <w:proofErr w:type="spellStart"/>
      <w:r>
        <w:rPr>
          <w:rFonts w:eastAsia="Times New Roman"/>
        </w:rPr>
        <w:t>optimisation</w:t>
      </w:r>
      <w:proofErr w:type="spellEnd"/>
      <w:r>
        <w:rPr>
          <w:rFonts w:eastAsia="Times New Roman"/>
        </w:rPr>
        <w:t xml:space="preserve"> methods actually work best in the Vietnamese market, where liquidity constraints and market microstructure are different from the developed-market settings where most </w:t>
      </w:r>
      <w:proofErr w:type="spellStart"/>
      <w:r>
        <w:rPr>
          <w:rFonts w:eastAsia="Times New Roman"/>
        </w:rPr>
        <w:t>optimisation</w:t>
      </w:r>
      <w:proofErr w:type="spellEnd"/>
      <w:r>
        <w:rPr>
          <w:rFonts w:eastAsia="Times New Roman"/>
        </w:rPr>
        <w:t xml:space="preserve"> methods were originally tested.</w:t>
      </w:r>
    </w:p>
    <w:p w14:paraId="51802C97" w14:textId="77777777" w:rsidR="00B678ED" w:rsidRDefault="00000000">
      <w:pPr>
        <w:spacing w:after="60" w:line="360" w:lineRule="auto"/>
        <w:ind w:left="720"/>
        <w:jc w:val="both"/>
      </w:pPr>
      <w:r>
        <w:rPr>
          <w:rFonts w:eastAsia="Times New Roman"/>
        </w:rPr>
        <w:t xml:space="preserve">1.  Study how users respond to the AI assistant's abstention </w:t>
      </w:r>
      <w:proofErr w:type="spellStart"/>
      <w:r>
        <w:rPr>
          <w:rFonts w:eastAsia="Times New Roman"/>
        </w:rPr>
        <w:t>behaviour</w:t>
      </w:r>
      <w:proofErr w:type="spellEnd"/>
      <w:r>
        <w:rPr>
          <w:rFonts w:eastAsia="Times New Roman"/>
        </w:rPr>
        <w:t>. The right balance between "reliable but conservative" and "comprehensive but risky" is an open question in financial technology design.</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w:t>
      </w:r>
      <w:proofErr w:type="gramStart"/>
      <w:r>
        <w:rPr>
          <w:rFonts w:eastAsia="Times New Roman"/>
        </w:rPr>
        <w:t>in  2</w:t>
      </w:r>
      <w:proofErr w:type="gramEnd"/>
      <w:r>
        <w:rPr>
          <w:rFonts w:eastAsia="Times New Roman"/>
        </w:rPr>
        <w:t xml:space="preserve"> against the evidence gathered from the platform development and demonstrated results.</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w:t>
            </w:r>
            <w:proofErr w:type="spellEnd"/>
            <w:r>
              <w:rPr>
                <w:rFonts w:eastAsia="Times New Roman"/>
                <w:sz w:val="22"/>
              </w:rPr>
              <w:t xml:space="preserve"> engine integrates HOSE's 100-share lot size, 0.15% brokerage fee, 0.1% sell tax, and next-open execution parameters absent from generic international tools</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enable non-technical retail investors on HOSE to design, </w:t>
            </w:r>
            <w:proofErr w:type="spellStart"/>
            <w:r>
              <w:rPr>
                <w:rFonts w:eastAsia="Times New Roman"/>
                <w:sz w:val="22"/>
              </w:rPr>
              <w:t>backtest</w:t>
            </w:r>
            <w:proofErr w:type="spellEnd"/>
            <w:r>
              <w:rPr>
                <w:rFonts w:eastAsia="Times New Roman"/>
                <w:sz w:val="22"/>
              </w:rPr>
              <w:t>, and iterate on quantitative strategies addressing the gap left by existing no-code platforms (</w:t>
            </w:r>
            <w:proofErr w:type="spellStart"/>
            <w:r>
              <w:rPr>
                <w:rFonts w:eastAsia="Times New Roman"/>
                <w:sz w:val="22"/>
              </w:rPr>
              <w:t>Zerodha</w:t>
            </w:r>
            <w:proofErr w:type="spellEnd"/>
            <w:r>
              <w:rPr>
                <w:rFonts w:eastAsia="Times New Roman"/>
                <w:sz w:val="22"/>
              </w:rPr>
              <w:t xml:space="preserve"> Streak, </w:t>
            </w:r>
            <w:proofErr w:type="spellStart"/>
            <w:r>
              <w:rPr>
                <w:rFonts w:eastAsia="Times New Roman"/>
                <w:sz w:val="22"/>
              </w:rPr>
              <w:t>AlgoBulls</w:t>
            </w:r>
            <w:proofErr w:type="spellEnd"/>
            <w:r>
              <w:rPr>
                <w:rFonts w:eastAsia="Times New Roman"/>
                <w:sz w:val="22"/>
              </w:rPr>
              <w:t>) that do not support HOSE</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provides 8 integrated modules (Stock Screener, Charts &amp; Analysis,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Risk Management, Factor Analysis, Strategy Builder, AI Assistant) accessible through a web browser.</w:t>
      </w:r>
    </w:p>
    <w:p w14:paraId="11073214" w14:textId="77777777" w:rsidR="00B678ED" w:rsidRDefault="00000000">
      <w:pPr>
        <w:spacing w:after="60" w:line="360" w:lineRule="auto"/>
        <w:ind w:left="720"/>
        <w:jc w:val="both"/>
      </w:pPr>
      <w:r>
        <w:rPr>
          <w:rFonts w:eastAsia="Times New Roman"/>
        </w:rPr>
        <w:t xml:space="preserve">•  No installation, programming knowledge, or </w:t>
      </w:r>
      <w:proofErr w:type="spellStart"/>
      <w:r>
        <w:rPr>
          <w:rFonts w:eastAsia="Times New Roman"/>
        </w:rPr>
        <w:t>specialised</w:t>
      </w:r>
      <w:proofErr w:type="spellEnd"/>
      <w:r>
        <w:rPr>
          <w:rFonts w:eastAsia="Times New Roman"/>
        </w:rPr>
        <w:t xml:space="preserve"> software is required.</w:t>
      </w:r>
    </w:p>
    <w:p w14:paraId="5C18E7AE" w14:textId="77777777" w:rsidR="00B678ED" w:rsidRDefault="00000000">
      <w:pPr>
        <w:spacing w:after="60" w:line="360" w:lineRule="auto"/>
        <w:ind w:left="720"/>
        <w:jc w:val="both"/>
      </w:pPr>
      <w:r>
        <w:rPr>
          <w:rFonts w:eastAsia="Times New Roman"/>
        </w:rPr>
        <w:t>•  The user interface is designed with Vietnamese language support and contextual guidance.</w:t>
      </w:r>
    </w:p>
    <w:p w14:paraId="427CE3D0" w14:textId="77777777" w:rsidR="00B678ED" w:rsidRDefault="00000000">
      <w:pPr>
        <w:spacing w:after="60" w:line="360" w:lineRule="auto"/>
        <w:ind w:left="720"/>
        <w:jc w:val="both"/>
      </w:pPr>
      <w:r>
        <w:rPr>
          <w:rFonts w:eastAsia="Times New Roman"/>
        </w:rPr>
        <w:t>•  The stock screener covers 412 actively traded HOSE symbols with multi-criteria filtering (industry sector, liquidity range, listing status).</w:t>
      </w:r>
    </w:p>
    <w:p w14:paraId="4C3C8817" w14:textId="77777777" w:rsidR="00B678ED" w:rsidRDefault="00000000">
      <w:pPr>
        <w:spacing w:after="60" w:line="360" w:lineRule="auto"/>
        <w:ind w:left="720"/>
        <w:jc w:val="both"/>
      </w:pPr>
      <w:r>
        <w:rPr>
          <w:rFonts w:eastAsia="Times New Roman"/>
        </w:rPr>
        <w:t>•  A unified sidebar navigation structure allows access to all modules from a single workspace.</w:t>
      </w:r>
    </w:p>
    <w:p w14:paraId="493DB8EA" w14:textId="77777777" w:rsidR="00B678ED" w:rsidRDefault="00000000">
      <w:pPr>
        <w:spacing w:after="120" w:line="360" w:lineRule="auto"/>
        <w:ind w:firstLine="720"/>
        <w:jc w:val="both"/>
      </w:pPr>
      <w:r>
        <w:rPr>
          <w:rFonts w:eastAsia="Times New Roman"/>
          <w:b/>
        </w:rPr>
        <w:t>Limitation:</w:t>
      </w:r>
      <w:r>
        <w:rPr>
          <w:rFonts w:eastAsia="Times New Roman"/>
        </w:rPr>
        <w:t xml:space="preserve"> No formal usability study has been conducted with actual retail investors to measure ease of use or learning curve. The accessibility claim is based on design principles and feature availability rather than empirical user research.</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The </w:t>
      </w:r>
      <w:proofErr w:type="spellStart"/>
      <w:r>
        <w:rPr>
          <w:rFonts w:eastAsia="Times New Roman"/>
        </w:rPr>
        <w:t>backtesting</w:t>
      </w:r>
      <w:proofErr w:type="spellEnd"/>
      <w:r>
        <w:rPr>
          <w:rFonts w:eastAsia="Times New Roman"/>
        </w:rPr>
        <w:t xml:space="preserve"> engine applies HOSE's 100-share lot size by default, which affects position sizing and prevents fractional-lot trades that would be impossible in practice.</w:t>
      </w:r>
    </w:p>
    <w:p w14:paraId="300989D7" w14:textId="77777777" w:rsidR="00B678ED" w:rsidRDefault="00000000">
      <w:pPr>
        <w:spacing w:after="60" w:line="360" w:lineRule="auto"/>
        <w:ind w:left="720"/>
        <w:jc w:val="both"/>
      </w:pPr>
      <w:r>
        <w:rPr>
          <w:rFonts w:eastAsia="Times New Roman"/>
        </w:rPr>
        <w:t>•  Transaction costs (brokerage fee, sell tax, slippage) are applied at trade execution, reducing simulated returns to realistic net-of-cost levels.</w:t>
      </w:r>
    </w:p>
    <w:p w14:paraId="78F9D644" w14:textId="77777777" w:rsidR="00B678ED" w:rsidRDefault="00000000">
      <w:pPr>
        <w:spacing w:after="60" w:line="360" w:lineRule="auto"/>
        <w:ind w:left="720"/>
        <w:jc w:val="both"/>
      </w:pPr>
      <w:r>
        <w:rPr>
          <w:rFonts w:eastAsia="Times New Roman"/>
        </w:rPr>
        <w:t xml:space="preserve">•  Next-open execution model avoids the common </w:t>
      </w:r>
      <w:proofErr w:type="spellStart"/>
      <w:r>
        <w:rPr>
          <w:rFonts w:eastAsia="Times New Roman"/>
        </w:rPr>
        <w:t>backtest</w:t>
      </w:r>
      <w:proofErr w:type="spellEnd"/>
      <w:r>
        <w:rPr>
          <w:rFonts w:eastAsia="Times New Roman"/>
        </w:rPr>
        <w:t xml:space="preserve"> pitfall of assuming execution at the signal-generating close price.</w:t>
      </w:r>
    </w:p>
    <w:p w14:paraId="239DF4C0" w14:textId="08ADD8BC" w:rsidR="00B678ED" w:rsidRDefault="00000000">
      <w:pPr>
        <w:spacing w:after="120" w:line="360" w:lineRule="auto"/>
        <w:ind w:firstLine="720"/>
        <w:jc w:val="both"/>
      </w:pPr>
      <w:r>
        <w:rPr>
          <w:rFonts w:eastAsia="Times New Roman"/>
          <w:b/>
        </w:rPr>
        <w:t>Implication:</w:t>
      </w:r>
      <w:r>
        <w:rPr>
          <w:rFonts w:eastAsia="Times New Roman"/>
        </w:rPr>
        <w:t xml:space="preserve"> Strategies that appear profitable on platforms without these parameters may show reduced or negative returns when local costs are applied directly affecting retail investors' capital allocation decisions.</w:t>
      </w:r>
    </w:p>
    <w:p w14:paraId="7DC341F0" w14:textId="77777777" w:rsidR="00B678ED" w:rsidRDefault="00000000">
      <w:pPr>
        <w:spacing w:after="120" w:line="360" w:lineRule="auto"/>
        <w:ind w:firstLine="720"/>
        <w:jc w:val="both"/>
      </w:pPr>
      <w:r>
        <w:rPr>
          <w:rFonts w:eastAsia="Times New Roman"/>
          <w:b/>
        </w:rPr>
        <w:t>Limitation:</w:t>
      </w:r>
      <w:r>
        <w:rPr>
          <w:rFonts w:eastAsia="Times New Roman"/>
        </w:rPr>
        <w:t xml:space="preserve"> A systematic comparison of </w:t>
      </w:r>
      <w:proofErr w:type="spellStart"/>
      <w:r>
        <w:rPr>
          <w:rFonts w:eastAsia="Times New Roman"/>
        </w:rPr>
        <w:t>backtest</w:t>
      </w:r>
      <w:proofErr w:type="spellEnd"/>
      <w:r>
        <w:rPr>
          <w:rFonts w:eastAsia="Times New Roman"/>
        </w:rPr>
        <w:t xml:space="preserve"> results with and without local parameters across a defined strategy set has not been conducted as a formal experiment. The hypothesis is supported by design implementation rather than empirical comparison.</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Context:</w:t>
      </w:r>
      <w:r>
        <w:rPr>
          <w:rFonts w:eastAsia="Times New Roman"/>
        </w:rPr>
        <w:t xml:space="preserve"> Existing no-code algorithmic trading platforms such as </w:t>
      </w:r>
      <w:proofErr w:type="spellStart"/>
      <w:r>
        <w:rPr>
          <w:rFonts w:eastAsia="Times New Roman"/>
        </w:rPr>
        <w:t>Zerodha</w:t>
      </w:r>
      <w:proofErr w:type="spellEnd"/>
      <w:r>
        <w:rPr>
          <w:rFonts w:eastAsia="Times New Roman"/>
        </w:rPr>
        <w:t xml:space="preserve"> Streak (India),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sidR="00DF4DC8">
        <w:rPr>
          <w:rFonts w:eastAsia="Times New Roman"/>
        </w:rPr>
        <w:t xml:space="preserve"> </w:t>
      </w:r>
      <w:r>
        <w:rPr>
          <w:rFonts w:eastAsia="Times New Roman"/>
        </w:rPr>
        <w:t xml:space="preserve">offer visual, code-free strategy design and </w:t>
      </w:r>
      <w:proofErr w:type="spellStart"/>
      <w:r>
        <w:rPr>
          <w:rFonts w:eastAsia="Times New Roman"/>
        </w:rPr>
        <w:t>backtesting</w:t>
      </w:r>
      <w:proofErr w:type="spellEnd"/>
      <w:r>
        <w:rPr>
          <w:rFonts w:eastAsia="Times New Roman"/>
        </w:rPr>
        <w:t>. However, none of these platforms support Vietnamese equities, HOSE market data, or local trading conventions (lot sizes, transaction taxes, T+2 settlement). Vietnamese investors who cannot code are therefore excluded from this category of tools entirely.</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canvas supports drag-and-drop composition with node types: Data Source, Indicator, Filter, Signal, and Output.</w:t>
      </w:r>
    </w:p>
    <w:p w14:paraId="3F9CABDB" w14:textId="77777777" w:rsidR="00B678ED" w:rsidRDefault="00000000">
      <w:pPr>
        <w:spacing w:after="60" w:line="360" w:lineRule="auto"/>
        <w:ind w:left="720"/>
        <w:jc w:val="both"/>
      </w:pPr>
      <w:r>
        <w:rPr>
          <w:rFonts w:eastAsia="Times New Roman"/>
        </w:rPr>
        <w:t>•  Strategies can be saved, exported, and directly executed against historical HOSE data.</w:t>
      </w:r>
    </w:p>
    <w:p w14:paraId="7879CE97" w14:textId="0A98F882" w:rsidR="00B678ED" w:rsidRDefault="00000000">
      <w:pPr>
        <w:spacing w:after="60" w:line="360" w:lineRule="auto"/>
        <w:ind w:left="720"/>
        <w:jc w:val="both"/>
      </w:pPr>
      <w:r>
        <w:rPr>
          <w:rFonts w:eastAsia="Times New Roman"/>
        </w:rPr>
        <w:t>•  The demonstrated RSI Reversal strategy (</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Figure 4.4</w:t>
      </w:r>
      <w:r>
        <w:rPr>
          <w:rFonts w:eastAsia="Times New Roman"/>
        </w:rPr>
        <w:fldChar w:fldCharType="end"/>
      </w:r>
      <w:r>
        <w:rPr>
          <w:rFonts w:eastAsia="Times New Roman"/>
        </w:rPr>
        <w:t xml:space="preserve">) shows a complete workflow from data loading through condition filtering to performance </w:t>
      </w:r>
      <w:proofErr w:type="gramStart"/>
      <w:r>
        <w:rPr>
          <w:rFonts w:eastAsia="Times New Roman"/>
        </w:rPr>
        <w:t xml:space="preserve">evaluation </w:t>
      </w:r>
      <w:r w:rsidR="00DF4DC8">
        <w:rPr>
          <w:rFonts w:eastAsia="Times New Roman"/>
        </w:rPr>
        <w:t xml:space="preserve"> </w:t>
      </w:r>
      <w:r>
        <w:rPr>
          <w:rFonts w:eastAsia="Times New Roman"/>
        </w:rPr>
        <w:t>all</w:t>
      </w:r>
      <w:proofErr w:type="gramEnd"/>
      <w:r>
        <w:rPr>
          <w:rFonts w:eastAsia="Times New Roman"/>
        </w:rPr>
        <w:t xml:space="preserve"> without code.</w:t>
      </w:r>
    </w:p>
    <w:p w14:paraId="73F7757B" w14:textId="77777777" w:rsidR="00B678ED" w:rsidRDefault="00000000">
      <w:pPr>
        <w:spacing w:after="60" w:line="360" w:lineRule="auto"/>
        <w:ind w:left="720"/>
        <w:jc w:val="both"/>
      </w:pPr>
      <w:r>
        <w:rPr>
          <w:rFonts w:eastAsia="Times New Roman"/>
        </w:rPr>
        <w:lastRenderedPageBreak/>
        <w:t>•  The visual node graph provides an explicit representation of data flow that non-technical users can read and modify.</w:t>
      </w:r>
    </w:p>
    <w:p w14:paraId="7762EEFC" w14:textId="77777777" w:rsidR="00B678ED" w:rsidRDefault="00000000">
      <w:pPr>
        <w:spacing w:after="120" w:line="360" w:lineRule="auto"/>
        <w:ind w:firstLine="720"/>
        <w:jc w:val="both"/>
      </w:pPr>
      <w:r>
        <w:rPr>
          <w:rFonts w:eastAsia="Times New Roman"/>
          <w:b/>
        </w:rPr>
        <w:t>Limitation:</w:t>
      </w:r>
      <w:r>
        <w:rPr>
          <w:rFonts w:eastAsia="Times New Roman"/>
        </w:rPr>
        <w:t xml:space="preserve"> No user study has been conducted to formally measure whether non-technical investors can successfully build strategies independently. The hypothesis is supported by the existence of the feature and its design principles, with implicit comparison to the absence of HOSE-compatible no-code alternatives.</w:t>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Context:</w:t>
      </w:r>
      <w:r>
        <w:rPr>
          <w:rFonts w:eastAsia="Times New Roman"/>
        </w:rPr>
        <w:t xml:space="preserve"> Vietnam's equity data ecosystem includes both commercial providers (</w:t>
      </w:r>
      <w:proofErr w:type="spellStart"/>
      <w:r>
        <w:rPr>
          <w:rFonts w:eastAsia="Times New Roman"/>
        </w:rPr>
        <w:t>FiinPro</w:t>
      </w:r>
      <w:proofErr w:type="spellEnd"/>
      <w:r>
        <w:rPr>
          <w:rFonts w:eastAsia="Times New Roman"/>
        </w:rPr>
        <w:t xml:space="preserve">, </w:t>
      </w:r>
      <w:proofErr w:type="spellStart"/>
      <w:r>
        <w:rPr>
          <w:rFonts w:eastAsia="Times New Roman"/>
        </w:rPr>
        <w:t>CafeF</w:t>
      </w:r>
      <w:proofErr w:type="spellEnd"/>
      <w:r>
        <w:rPr>
          <w:rFonts w:eastAsia="Times New Roman"/>
        </w:rPr>
        <w:t xml:space="preserve">, </w:t>
      </w:r>
      <w:proofErr w:type="spellStart"/>
      <w:r>
        <w:rPr>
          <w:rFonts w:eastAsia="Times New Roman"/>
        </w:rPr>
        <w:t>VietstockFinance</w:t>
      </w:r>
      <w:proofErr w:type="spellEnd"/>
      <w:r>
        <w:rPr>
          <w:rFonts w:eastAsia="Times New Roman"/>
        </w:rPr>
        <w:t xml:space="preserve">) that offer curated, subscription-based data feeds, and free open-source alternatives. The platform deliberately uses </w:t>
      </w:r>
      <w:proofErr w:type="spellStart"/>
      <w:r>
        <w:rPr>
          <w:rFonts w:eastAsia="Times New Roman"/>
        </w:rPr>
        <w:t>vnstock</w:t>
      </w:r>
      <w:proofErr w:type="spellEnd"/>
      <w:r>
        <w:rPr>
          <w:rFonts w:eastAsia="Times New Roman"/>
        </w:rPr>
        <w:t xml:space="preserve"> as a freely accessible data source to maintain accessibility for retail investors. Raw data accessed via </w:t>
      </w:r>
      <w:proofErr w:type="spellStart"/>
      <w:r>
        <w:rPr>
          <w:rFonts w:eastAsia="Times New Roman"/>
        </w:rPr>
        <w:t>vnstock</w:t>
      </w:r>
      <w:proofErr w:type="spellEnd"/>
      <w:r w:rsidR="00DF4DC8">
        <w:rPr>
          <w:rFonts w:eastAsia="Times New Roman"/>
        </w:rPr>
        <w:t xml:space="preserve"> </w:t>
      </w:r>
      <w:r>
        <w:rPr>
          <w:rFonts w:eastAsia="Times New Roman"/>
        </w:rPr>
        <w:t>sourced directly from exchange APIs</w:t>
      </w:r>
      <w:r w:rsidR="00DF4DC8">
        <w:rPr>
          <w:rFonts w:eastAsia="Times New Roman"/>
        </w:rPr>
        <w:t xml:space="preserve"> </w:t>
      </w:r>
      <w:r>
        <w:rPr>
          <w:rFonts w:eastAsia="Times New Roman"/>
        </w:rPr>
        <w:t>may contain price record inconsistencies, corporate action gaps, and symbol-level coverage variations that require explicit validation before quantitative use.</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processes 768,718 OHLCV records with validation rules including: non-null fields, positive prices, logical price relationships (High ≥ Low, High ≥ Close, Low ≤ Open), and finite numeric values.</w:t>
      </w:r>
    </w:p>
    <w:p w14:paraId="608AC2DA" w14:textId="77777777" w:rsidR="00B678ED" w:rsidRDefault="00000000">
      <w:pPr>
        <w:spacing w:after="60" w:line="360" w:lineRule="auto"/>
        <w:ind w:left="720"/>
        <w:jc w:val="both"/>
      </w:pPr>
      <w:r>
        <w:rPr>
          <w:rFonts w:eastAsia="Times New Roman"/>
        </w:rPr>
        <w:t xml:space="preserve">•  Rejected records are </w:t>
      </w:r>
      <w:proofErr w:type="spellStart"/>
      <w:r>
        <w:rPr>
          <w:rFonts w:eastAsia="Times New Roman"/>
        </w:rPr>
        <w:t>categorised</w:t>
      </w:r>
      <w:proofErr w:type="spellEnd"/>
      <w:r>
        <w:rPr>
          <w:rFonts w:eastAsia="Times New Roman"/>
        </w:rPr>
        <w:t xml:space="preserve"> by failure reason, enabling root cause analysis.</w:t>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Data manifest records coverage statistics for each dataset, providing transparency on how much data was available and used.</w:t>
      </w:r>
    </w:p>
    <w:p w14:paraId="025FD1B2" w14:textId="77777777" w:rsidR="00B678ED" w:rsidRDefault="00000000">
      <w:pPr>
        <w:spacing w:after="60" w:line="360" w:lineRule="auto"/>
        <w:ind w:left="720"/>
        <w:jc w:val="both"/>
      </w:pPr>
      <w:r>
        <w:rPr>
          <w:rFonts w:eastAsia="Times New Roman"/>
        </w:rPr>
        <w:t xml:space="preserve">•  Portfolio </w:t>
      </w:r>
      <w:proofErr w:type="spellStart"/>
      <w:r>
        <w:rPr>
          <w:rFonts w:eastAsia="Times New Roman"/>
        </w:rPr>
        <w:t>optimisation</w:t>
      </w:r>
      <w:proofErr w:type="spellEnd"/>
      <w:r>
        <w:rPr>
          <w:rFonts w:eastAsia="Times New Roman"/>
        </w:rPr>
        <w:t xml:space="preserve"> automatically excludes assets with fewer than 60 days of history or insufficient pairwise data overlap (&lt; 30 days).</w:t>
      </w:r>
    </w:p>
    <w:p w14:paraId="30FC3B88" w14:textId="77777777" w:rsidR="00B678ED" w:rsidRDefault="00000000">
      <w:pPr>
        <w:spacing w:after="120" w:line="360" w:lineRule="auto"/>
        <w:ind w:firstLine="720"/>
        <w:jc w:val="both"/>
      </w:pPr>
      <w:r>
        <w:rPr>
          <w:rFonts w:eastAsia="Times New Roman"/>
          <w:b/>
        </w:rPr>
        <w:t>Limitation:</w:t>
      </w:r>
      <w:r>
        <w:rPr>
          <w:rFonts w:eastAsia="Times New Roman"/>
        </w:rPr>
        <w:t xml:space="preserve"> The validation rules were designed to handle the most common expected issues; whether they capture all real-world HOSE data anomalies (e.g., stock splits, rights issues, post-suspension price adjustments) has not been exhaustively tested against the full historical record.</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The assistant retrieves computed results from internal modules before generating responses.</w:t>
      </w:r>
    </w:p>
    <w:p w14:paraId="60A40DCE" w14:textId="77777777" w:rsidR="00B678ED" w:rsidRDefault="00000000">
      <w:pPr>
        <w:spacing w:after="60" w:line="360" w:lineRule="auto"/>
        <w:ind w:left="720"/>
        <w:jc w:val="both"/>
      </w:pPr>
      <w:r>
        <w:rPr>
          <w:rFonts w:eastAsia="Times New Roman"/>
        </w:rPr>
        <w:t>•  Policy gating ensures numeric claims are backed by internal computation.</w:t>
      </w:r>
    </w:p>
    <w:p w14:paraId="10B29292" w14:textId="77777777" w:rsidR="00B678ED" w:rsidRDefault="00000000">
      <w:pPr>
        <w:spacing w:after="60" w:line="360" w:lineRule="auto"/>
        <w:ind w:left="720"/>
        <w:jc w:val="both"/>
      </w:pPr>
      <w:r>
        <w:rPr>
          <w:rFonts w:eastAsia="Times New Roman"/>
        </w:rPr>
        <w:t>•  When the assistant cannot ground a response, it explicitly declines with an explanation rather than generating a plausible but potentially false answer.</w:t>
      </w:r>
    </w:p>
    <w:p w14:paraId="2DADB2BF" w14:textId="77777777" w:rsidR="00B678ED" w:rsidRDefault="00000000">
      <w:pPr>
        <w:spacing w:after="60" w:line="360" w:lineRule="auto"/>
        <w:ind w:left="720"/>
        <w:jc w:val="both"/>
      </w:pPr>
      <w:r>
        <w:rPr>
          <w:rFonts w:eastAsia="Times New Roman"/>
        </w:rPr>
        <w:t>•  No hallucinated statistics were observed during development testing.</w:t>
      </w:r>
    </w:p>
    <w:p w14:paraId="7BAF1CB4" w14:textId="77777777" w:rsidR="00B678ED" w:rsidRDefault="00000000">
      <w:pPr>
        <w:spacing w:after="120" w:line="360" w:lineRule="auto"/>
        <w:ind w:firstLine="720"/>
        <w:jc w:val="both"/>
      </w:pPr>
      <w:r>
        <w:rPr>
          <w:rFonts w:eastAsia="Times New Roman"/>
          <w:b/>
        </w:rPr>
        <w:t>Limitation:</w:t>
      </w:r>
      <w:r>
        <w:rPr>
          <w:rFonts w:eastAsia="Times New Roman"/>
        </w:rPr>
        <w:t xml:space="preserve"> The abstention </w:t>
      </w:r>
      <w:proofErr w:type="spellStart"/>
      <w:r>
        <w:rPr>
          <w:rFonts w:eastAsia="Times New Roman"/>
        </w:rPr>
        <w:t>behaviour</w:t>
      </w:r>
      <w:proofErr w:type="spellEnd"/>
      <w:r>
        <w:rPr>
          <w:rFonts w:eastAsia="Times New Roman"/>
        </w:rPr>
        <w:t xml:space="preserve"> has not been validated through a controlled user study. Whether users perceive the conservative responses as trustworthy (building confidence) or restrictive (reducing utility) remains an open question for future research. The formal evaluation of H5 requires a user study with domain experts assessing response reliability.</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