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BANKNIG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BANKNIG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r>
        <w:rPr>
          <w:rFonts w:eastAsia="Times New Roman"/>
          <w:b/>
          <w:sz w:val="32"/>
        </w:rPr>
        <w:t>QuantVN Strategy Forge: An Accessible Quantitative Analysis Platform for Trading Strategy Design and Backtesting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Ho Chi Minh City</w:t>
      </w:r>
      <w:r w:rsidR="00C8033C">
        <w:rPr>
          <w:rFonts w:eastAsia="Times New Roman"/>
          <w:i/>
        </w:rPr>
        <w:t xml:space="preserve">,February </w:t>
      </w:r>
      <w:r>
        <w:rPr>
          <w:rFonts w:eastAsia="Times New Roman"/>
          <w:i/>
        </w:rPr>
        <w:t>2026</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This thesis designs, implements, and evaluates QuantVN Strategy Forge, a web-based quantitative analysis platform for Vietnamese equities listed on the Ho Chi Minh Stock Exchange (HOSE). The platform addresses the gap in accessible quantitative tools for Vietnamese retail investors by integrating stock screening, strategy backtesting with five strategy types, portfolio optimisation using four methods (Mean-Variance, Risk Parity, Minimum Variance, Maximum Sharpe), risk management metrics (VaR, CVaR, drawdown), factor analysis, and an AI assistant grounded in the platform's own computations. The system covers approximately 500 HOSE-listed stocks with daily data from 2018 to 2025. The AI assistant employs retrieval-augmented generation with policy-gated abstention to prevent unsupported financial claims. Results demonstrate the platform successfully provides integrated quantitative analysis capabilities comparable to international tools while supporting Vietnamese market conventions including transaction costs, daily price limits, and settlement cycles.</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quantitative analysis, HOSE, backtesting, portfolio optimisation,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r>
              <w:rPr>
                <w:rFonts w:eastAsia="Times New Roman"/>
                <w:sz w:val="24"/>
              </w:rPr>
              <w:t>Techcombank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r>
              <w:rPr>
                <w:rFonts w:eastAsia="Times New Roman"/>
                <w:b/>
                <w:sz w:val="24"/>
              </w:rPr>
              <w:t>UPCoM</w:t>
            </w:r>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r>
              <w:rPr>
                <w:rFonts w:eastAsia="Times New Roman"/>
                <w:b/>
                <w:sz w:val="24"/>
              </w:rPr>
              <w:t>VaR</w:t>
            </w:r>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The Vietnamese securities market has grown rapidly over the past decade. By 2024, trading accounts reached 9.2 million  surpassing the government's 2025 target  with retail investors accounting for over 80 per cent of daily trading volume on the Ho Chi Minh Stock Exchange (HOSE) (FiinPro, 2024). Vietnam's fintech market, valued at approximately USD 16.9 billion in 2024, is projected to reach USD 62.7 billion by 2033, supported by high smartphone penetration (84 per cent) and a digitally engaged population (IMARC Group, 2024).</w:t>
      </w:r>
    </w:p>
    <w:p w14:paraId="06C4629D" w14:textId="66FA6456" w:rsidR="00B678ED" w:rsidRDefault="00000000" w:rsidP="001A7A20">
      <w:pPr>
        <w:spacing w:after="120" w:line="360" w:lineRule="auto"/>
        <w:ind w:firstLine="720"/>
        <w:jc w:val="both"/>
      </w:pPr>
      <w:r>
        <w:rPr>
          <w:rFonts w:eastAsia="Times New Roman"/>
        </w:rPr>
        <w:t>Despite this growth, Vietnamese retail investors still lack access to proper quantitative analysis tools. International platforms like TradingView offer advanced charting but do not fully support HOSE-specific data or Vietnamese market conventions (TradingView, n.d.). None of the major international algorithmic trading platforms support HOSE at all. On the domestic side, brokerage platforms from TCBS, SSI iBoard, and VNDirect provide charting and order execution, but none of them offer strategy backtesting, portfolio optimisation, factor analysis, or risk measurement at the retail level (TCBS, n.d.; SSI, n.d.).</w:t>
      </w:r>
      <w:r w:rsidR="001A7A20">
        <w:t xml:space="preserve"> </w:t>
      </w:r>
      <w:r>
        <w:rPr>
          <w:rFonts w:eastAsia="Times New Roman"/>
        </w:rPr>
        <w:t>In practice, this means that quantitative finance methods now standard in developed markets remain out of reach for most Vietnamese investors. They trade actively, but without systematic tools to rigorously test investment ideas before putting capital at risk.</w:t>
      </w:r>
    </w:p>
    <w:p w14:paraId="3707C839" w14:textId="5D07F9BF" w:rsidR="00B678ED" w:rsidRDefault="00000000">
      <w:pPr>
        <w:spacing w:after="120" w:line="360" w:lineRule="auto"/>
        <w:ind w:firstLine="720"/>
        <w:jc w:val="both"/>
      </w:pPr>
      <w:r>
        <w:rPr>
          <w:rFonts w:eastAsia="Times New Roman"/>
        </w:rPr>
        <w:t>At the same time, large language models (LLMs) offer an opportunity to make quantitative analysis more approachable through conversational AI. The catch is that LLMs tend to hallucinate they can produce fluent but factually wrong outputs (Lin et al., 2022). In finance, this is dangerous: a user might act on fabricated statistics. Retrieval-augmented generation (RAG) reduces this risk by anchoring model responses in retrieved evidence (Lewis et al., 2020), though this only works well when the underlying data is structured and validated.</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thesis designs, implements, and evaluates </w:t>
      </w:r>
      <w:r>
        <w:rPr>
          <w:rFonts w:eastAsia="Times New Roman"/>
          <w:b/>
        </w:rPr>
        <w:t>QuantVN Strategy Forge</w:t>
      </w:r>
      <w:r>
        <w:rPr>
          <w:rFonts w:eastAsia="Times New Roman"/>
        </w:rPr>
        <w:t>, a web-based quantitative analysis platform for Vietnamese equities that enables retail investors and finance students to:</w:t>
      </w:r>
    </w:p>
    <w:p w14:paraId="367058E8" w14:textId="77777777" w:rsidR="00B678ED" w:rsidRDefault="00000000">
      <w:pPr>
        <w:spacing w:after="60" w:line="360" w:lineRule="auto"/>
        <w:ind w:left="720"/>
        <w:jc w:val="both"/>
      </w:pPr>
      <w:r>
        <w:rPr>
          <w:rFonts w:eastAsia="Times New Roman"/>
        </w:rPr>
        <w:t>•  Screen stocks using technical indicators and fundamental metrics</w:t>
      </w:r>
    </w:p>
    <w:p w14:paraId="0F0F8A23" w14:textId="77777777" w:rsidR="00B678ED" w:rsidRDefault="00000000">
      <w:pPr>
        <w:spacing w:after="60" w:line="360" w:lineRule="auto"/>
        <w:ind w:left="720"/>
        <w:jc w:val="both"/>
      </w:pPr>
      <w:r>
        <w:rPr>
          <w:rFonts w:eastAsia="Times New Roman"/>
        </w:rPr>
        <w:t>•  Design, backtest, and compare trading strategies with realistic assumptions</w:t>
      </w:r>
    </w:p>
    <w:p w14:paraId="623309A0" w14:textId="77777777" w:rsidR="00B678ED" w:rsidRDefault="00000000">
      <w:pPr>
        <w:spacing w:after="60" w:line="360" w:lineRule="auto"/>
        <w:ind w:left="720"/>
        <w:jc w:val="both"/>
      </w:pPr>
      <w:r>
        <w:rPr>
          <w:rFonts w:eastAsia="Times New Roman"/>
        </w:rPr>
        <w:t>•  Optimise portfolios and analyse risk using established quantitative methods</w:t>
      </w:r>
    </w:p>
    <w:p w14:paraId="5B051FB5" w14:textId="77777777" w:rsidR="00B678ED" w:rsidRDefault="00000000">
      <w:pPr>
        <w:spacing w:after="60" w:line="360" w:lineRule="auto"/>
        <w:ind w:left="720"/>
        <w:jc w:val="both"/>
      </w:pPr>
      <w:r>
        <w:rPr>
          <w:rFonts w:eastAsia="Times New Roman"/>
        </w:rPr>
        <w:t>•  Receive AI-assisted explanations of quantitative results grounded in actual computed evidence</w:t>
      </w:r>
    </w:p>
    <w:p w14:paraId="6E9E41C3" w14:textId="77777777" w:rsidR="00B678ED" w:rsidRDefault="00000000">
      <w:pPr>
        <w:spacing w:after="60" w:line="360" w:lineRule="auto"/>
        <w:ind w:left="720"/>
        <w:jc w:val="both"/>
      </w:pPr>
      <w:r>
        <w:rPr>
          <w:rFonts w:eastAsia="Times New Roman"/>
        </w:rPr>
        <w:t>•  Learn quantitative finance concepts through an integrated educational hub</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How effective is the platform at enabling users to design, backtest,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the thesis evaluates the effectiveness of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w:t>
      </w:r>
      <w:r>
        <w:rPr>
          <w:rFonts w:eastAsia="Times New Roman"/>
          <w:b/>
        </w:rPr>
        <w:t>integrated quantitative analysis platform</w:t>
      </w:r>
      <w:r>
        <w:rPr>
          <w:rFonts w:eastAsia="Times New Roman"/>
        </w:rPr>
        <w:t xml:space="preserve"> for Vietnamese equities  covering stock screening, strategy backtesting, portfolio optimisation, risk management, and factor analysis that fills a gap in the Vietnamese fintech landscape</w:t>
      </w:r>
    </w:p>
    <w:p w14:paraId="0D1D3072" w14:textId="77777777" w:rsidR="00B678ED" w:rsidRDefault="00000000">
      <w:pPr>
        <w:spacing w:after="60" w:line="360" w:lineRule="auto"/>
        <w:ind w:left="720"/>
        <w:jc w:val="both"/>
      </w:pPr>
      <w:r>
        <w:rPr>
          <w:rFonts w:eastAsia="Times New Roman"/>
        </w:rPr>
        <w:t xml:space="preserve">2.  An </w:t>
      </w:r>
      <w:r>
        <w:rPr>
          <w:rFonts w:eastAsia="Times New Roman"/>
          <w:b/>
        </w:rPr>
        <w:t>AI assistant with tool-grounding</w:t>
      </w:r>
      <w:r>
        <w:rPr>
          <w:rFonts w:eastAsia="Times New Roman"/>
        </w:rPr>
        <w:t xml:space="preserve"> that generates explanations based on the platform's own computations, and can decline to answer when supporting evidence is not available</w:t>
      </w:r>
    </w:p>
    <w:p w14:paraId="33D8349F" w14:textId="77777777" w:rsidR="00B678ED" w:rsidRDefault="00000000">
      <w:pPr>
        <w:spacing w:after="60" w:line="360" w:lineRule="auto"/>
        <w:ind w:left="720"/>
        <w:jc w:val="both"/>
      </w:pPr>
      <w:r>
        <w:rPr>
          <w:rFonts w:eastAsia="Times New Roman"/>
        </w:rPr>
        <w:t xml:space="preserve">3.  An </w:t>
      </w:r>
      <w:r>
        <w:rPr>
          <w:rFonts w:eastAsia="Times New Roman"/>
          <w:b/>
        </w:rPr>
        <w:t>educational hub</w:t>
      </w:r>
      <w:r>
        <w:rPr>
          <w:rFonts w:eastAsia="Times New Roman"/>
        </w:rPr>
        <w:t xml:space="preserve"> connecting quantitative finance theory to the practical tools available on the platform, aimed at Vietnamese retail investors</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r>
        <w:rPr>
          <w:rFonts w:eastAsia="Times New Roman"/>
          <w:b/>
        </w:rPr>
        <w:t>Section  2</w:t>
      </w:r>
      <w:r>
        <w:rPr>
          <w:rFonts w:eastAsia="Times New Roman"/>
        </w:rPr>
        <w:t xml:space="preserve"> reviews the theoretical foundations in quantitative finance, backtesting methodology, and AI-assisted financial analysis, and formulates the research hypotheses. </w:t>
      </w:r>
      <w:r>
        <w:rPr>
          <w:rFonts w:eastAsia="Times New Roman"/>
          <w:b/>
        </w:rPr>
        <w:t>Section  3</w:t>
      </w:r>
      <w:r>
        <w:rPr>
          <w:rFonts w:eastAsia="Times New Roman"/>
        </w:rPr>
        <w:t xml:space="preserve"> presents the research methodology, including data collection and the quantitative methods employed. </w:t>
      </w:r>
      <w:r>
        <w:rPr>
          <w:rFonts w:eastAsia="Times New Roman"/>
          <w:b/>
        </w:rPr>
        <w:t>Section 4</w:t>
      </w:r>
      <w:r>
        <w:rPr>
          <w:rFonts w:eastAsia="Times New Roman"/>
        </w:rPr>
        <w:t xml:space="preserve"> describes the system design, demonstrates the implemented features, and discusses results. </w:t>
      </w:r>
      <w:r>
        <w:rPr>
          <w:rFonts w:eastAsia="Times New Roman"/>
          <w:b/>
        </w:rPr>
        <w:t>Section 5</w:t>
      </w:r>
      <w:r>
        <w:rPr>
          <w:rFonts w:eastAsia="Times New Roman"/>
        </w:rPr>
        <w:t xml:space="preserve"> concludes with limitations and future directions.</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reviews the theoretical and empirical foundations that inform the design of QuantVN Strategy Forge. The review covers quantitative finance theory, trading strategy evaluation, risk management, AI-assisted financial analysis, and the current landscape of retail investor tools.</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Modern Portfolio Theory (MPT), introduced by Markowitz (1952), established that investors should evaluate portfolios based on their expected return and risk (measured by variance) rather than analysing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The Efficient Market Hypothesis (EMH) formalised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rather than relying on informal judgment  have clear value.</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Harvey, Liu, and Zhu (2016), however, warned that a large portion of published factors do not survive proper multiple-testing corrections. Their work is a reminder of how easily data mining can produce spurious results in quantitative finance  and why any tool that presents factor analysis should do so with appropriate caveats.</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2.3 Trading Strategy Design and Backtesting</w:t>
      </w:r>
      <w:bookmarkEnd w:id="11"/>
    </w:p>
    <w:p w14:paraId="31F9AE52" w14:textId="6DCF1841" w:rsidR="00B678ED" w:rsidRDefault="00000000">
      <w:pPr>
        <w:spacing w:after="120" w:line="360" w:lineRule="auto"/>
        <w:ind w:firstLine="720"/>
        <w:jc w:val="both"/>
      </w:pPr>
      <w:r>
        <w:rPr>
          <w:rFonts w:eastAsia="Times New Roman"/>
        </w:rPr>
        <w:t>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backtesting (Murphy, 1999).</w:t>
      </w:r>
    </w:p>
    <w:p w14:paraId="52A15E93" w14:textId="31CA008D" w:rsidR="00B678ED" w:rsidRDefault="00000000">
      <w:pPr>
        <w:spacing w:after="120" w:line="360" w:lineRule="auto"/>
        <w:ind w:firstLine="720"/>
        <w:jc w:val="both"/>
      </w:pPr>
      <w:r>
        <w:rPr>
          <w:rFonts w:eastAsia="Times New Roman"/>
        </w:rPr>
        <w:t>Backtesting the historical simulation of trading strategies</w:t>
      </w:r>
      <w:r w:rsidR="001A7A20">
        <w:rPr>
          <w:rFonts w:eastAsia="Times New Roman"/>
        </w:rPr>
        <w:t xml:space="preserve"> </w:t>
      </w:r>
      <w:r>
        <w:rPr>
          <w:rFonts w:eastAsia="Times New Roman"/>
        </w:rPr>
        <w:t>is the primary tool for evaluating strategy ideas but is also the primary source of misleading evidence. Bailey, Borwein, López de Prado, and Zhu (2016) identified multiple sources of backtest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These well-documented pitfalls are the reason why the backtesting engine in this thesis makes execution timing, transaction costs, and data quality assumptions visible to users by default rather than hiding them.</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 xml:space="preserve">Value at Risk (VaR) and Conditional VaR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(Artzner et al., 1999; Rockafellar &amp; Uryasev,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BloombergGPT (Wu et al., 2023) and FinGPT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Evaluating whether a response is actually reliable requires going beyond surface-level checks. Min et al. (2023) proposed breaking responses into atomic claims and verifying each one individually. Rajpurkar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iBoard (SSI, n.d.), and VNDirect (VNDirect, n.d.) which provide charting, order execution, and basic screening but lack </w:t>
      </w:r>
      <w:r>
        <w:rPr>
          <w:rFonts w:eastAsia="Times New Roman"/>
        </w:rPr>
        <w:lastRenderedPageBreak/>
        <w:t>quantitative analysis capabilities such as strategy backtesting, portfolio optimisation, or risk measurement.</w:t>
      </w:r>
    </w:p>
    <w:p w14:paraId="448981C8" w14:textId="77777777" w:rsidR="00B678ED" w:rsidRDefault="00000000">
      <w:pPr>
        <w:spacing w:after="120" w:line="360" w:lineRule="auto"/>
        <w:ind w:firstLine="720"/>
        <w:jc w:val="both"/>
      </w:pPr>
      <w:r>
        <w:rPr>
          <w:rFonts w:eastAsia="Times New Roman"/>
        </w:rPr>
        <w:t>Several specialised Vietnamese platforms have emerged. Algotrade offers fully automated algorithmic trading with tick-by-tick data and API integration via SSI, targeting professional and institutional investors (Algotrade, n.d.). Miquant provides AI-powered quantitative analysis including automated stock valuation, AI chatbot, sentiment analysis, and AI-driven stock ranking (Miquant, n.d.). However, neither platform offers user-driven strategy backtesting with transparent cost assumptions, nor do they provide portfolio optimisation or factor analysis tools accessible to retail investors.</w:t>
      </w:r>
    </w:p>
    <w:p w14:paraId="6A44B437" w14:textId="77777777" w:rsidR="00B678ED" w:rsidRDefault="00000000">
      <w:pPr>
        <w:spacing w:after="120" w:line="360" w:lineRule="auto"/>
        <w:ind w:firstLine="720"/>
        <w:jc w:val="both"/>
      </w:pPr>
      <w:r>
        <w:rPr>
          <w:rFonts w:eastAsia="Times New Roman"/>
        </w:rPr>
        <w:t>Internationally, TradingView is the most widely used charting platform among Vietnamese retail investors, offering advanced technical analysis with partial HOSE data support but no backtesting with Vietnamese market conventions such as transaction costs, price limits, and settlement cycle (TradingView,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r>
              <w:rPr>
                <w:rFonts w:eastAsia="Times New Roman"/>
                <w:b/>
                <w:sz w:val="22"/>
              </w:rPr>
              <w:t>Algotrade</w:t>
            </w:r>
          </w:p>
        </w:tc>
        <w:tc>
          <w:tcPr>
            <w:tcW w:w="1512" w:type="dxa"/>
            <w:shd w:val="clear" w:color="auto" w:fill="D9E2F3"/>
          </w:tcPr>
          <w:p w14:paraId="085028D7" w14:textId="77777777" w:rsidR="00B678ED" w:rsidRDefault="00000000">
            <w:pPr>
              <w:jc w:val="center"/>
            </w:pPr>
            <w:r>
              <w:rPr>
                <w:rFonts w:eastAsia="Times New Roman"/>
                <w:b/>
                <w:sz w:val="22"/>
              </w:rPr>
              <w:t>Miquant</w:t>
            </w:r>
          </w:p>
        </w:tc>
        <w:tc>
          <w:tcPr>
            <w:tcW w:w="1512" w:type="dxa"/>
            <w:shd w:val="clear" w:color="auto" w:fill="D9E2F3"/>
          </w:tcPr>
          <w:p w14:paraId="063B6520" w14:textId="77777777" w:rsidR="00B678ED" w:rsidRDefault="00000000">
            <w:pPr>
              <w:jc w:val="center"/>
            </w:pPr>
            <w:r>
              <w:rPr>
                <w:rFonts w:eastAsia="Times New Roman"/>
                <w:b/>
                <w:sz w:val="22"/>
              </w:rPr>
              <w:t>TradingView</w:t>
            </w:r>
          </w:p>
        </w:tc>
        <w:tc>
          <w:tcPr>
            <w:tcW w:w="1512" w:type="dxa"/>
            <w:shd w:val="clear" w:color="auto" w:fill="D9E2F3"/>
          </w:tcPr>
          <w:p w14:paraId="2FA325C3" w14:textId="77777777" w:rsidR="00B678ED" w:rsidRDefault="00000000">
            <w:pPr>
              <w:jc w:val="center"/>
            </w:pPr>
            <w:r>
              <w:rPr>
                <w:rFonts w:eastAsia="Times New Roman"/>
                <w:b/>
                <w:sz w:val="22"/>
              </w:rPr>
              <w:t>**QuantVN**</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Strategy backtesting</w:t>
            </w:r>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Portfolio optimisation</w:t>
            </w:r>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(VaR/CVaR)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The literature points to a common theme: Vietnamese retail investors need accessible quantitative tools, but those tools must be careful about how they present results. A backtesting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14:paraId="2F9ACBBB" w14:textId="77777777" w:rsidR="00B678ED" w:rsidRDefault="00000000">
      <w:pPr>
        <w:spacing w:after="120" w:line="360" w:lineRule="auto"/>
        <w:ind w:firstLine="720"/>
        <w:jc w:val="both"/>
      </w:pPr>
      <w:r>
        <w:rPr>
          <w:rFonts w:eastAsia="Times New Roman"/>
        </w:rPr>
        <w:t>QuantVN Strategy Forge is designed around these constraints. It brings stock screening, strategy backtesting, portfolio optimisation, risk management, and factor analysis into a single platform, with an AI assistant that grounds its explanations in the platform's own quantitative computations rather than generating answers from general knowledge.</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w:t>
      </w:r>
      <w:r>
        <w:rPr>
          <w:rFonts w:eastAsia="Times New Roman"/>
        </w:rPr>
        <w:t xml:space="preserve"> A</w:t>
      </w:r>
      <w:r w:rsidR="001A7A20">
        <w:rPr>
          <w:rFonts w:eastAsia="Times New Roman"/>
        </w:rPr>
        <w:t xml:space="preserve"> </w:t>
      </w:r>
      <w:r>
        <w:rPr>
          <w:rFonts w:eastAsia="Times New Roman"/>
        </w:rPr>
        <w:t>web-based integrated quantitative analysis platform can make institutional</w:t>
      </w:r>
      <w:r w:rsidR="001A7A20">
        <w:rPr>
          <w:rFonts w:eastAsia="Times New Roman"/>
        </w:rPr>
        <w:t xml:space="preserve"> </w:t>
      </w:r>
      <w:r>
        <w:rPr>
          <w:rFonts w:eastAsia="Times New Roman"/>
        </w:rPr>
        <w:t>grade quantitative tools accessible to Vietnamese retail investors on HOSE without requiring programming knowledge or specialised software installation.</w:t>
      </w:r>
    </w:p>
    <w:p w14:paraId="07B55E81" w14:textId="0E750F59" w:rsidR="00B678ED" w:rsidRDefault="00000000">
      <w:pPr>
        <w:spacing w:after="120" w:line="360" w:lineRule="auto"/>
        <w:ind w:firstLine="720"/>
        <w:jc w:val="both"/>
      </w:pPr>
      <w:r>
        <w:rPr>
          <w:rFonts w:eastAsia="Times New Roman"/>
          <w:b/>
        </w:rPr>
        <w:lastRenderedPageBreak/>
        <w:t>H2:</w:t>
      </w:r>
      <w:r>
        <w:rPr>
          <w:rFonts w:eastAsia="Times New Roman"/>
        </w:rPr>
        <w:t xml:space="preserve"> Incorporating Vietnamese market-specific parameters</w:t>
      </w:r>
      <w:r w:rsidR="001A7A20">
        <w:rPr>
          <w:rFonts w:eastAsia="Times New Roman"/>
        </w:rPr>
        <w:t xml:space="preserve"> </w:t>
      </w:r>
      <w:r>
        <w:rPr>
          <w:rFonts w:eastAsia="Times New Roman"/>
        </w:rPr>
        <w:t>including HOSE's 100-share lot size, domestic transaction costs (brokerage fee, sell-side tax), and next-open execution model</w:t>
      </w:r>
      <w:r w:rsidR="001A7A20">
        <w:rPr>
          <w:rFonts w:eastAsia="Times New Roman"/>
        </w:rPr>
        <w:t xml:space="preserve"> </w:t>
      </w:r>
      <w:r>
        <w:rPr>
          <w:rFonts w:eastAsia="Times New Roman"/>
        </w:rPr>
        <w:t>into a backtesting engine produces more realistic performance estimates than generic international tools that omit these parameters.</w:t>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backtest, and iterate on quantitative trading strategies</w:t>
      </w:r>
      <w:r w:rsidR="001A7A20">
        <w:rPr>
          <w:rFonts w:eastAsia="Times New Roman"/>
        </w:rPr>
        <w:t xml:space="preserve"> </w:t>
      </w:r>
      <w:r>
        <w:rPr>
          <w:rFonts w:eastAsia="Times New Roman"/>
        </w:rPr>
        <w:t>addressing the barrier created by existing no-code algorithmic trading platforms (such as Zerodha Streak, uTrade Algos, and AlgoBulls)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vnstock</w:t>
      </w:r>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summarised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presents the research methodology used to design, implement, and evaluate QuantVN Strategy Forge.</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This thesis takes an applied research approach. It starts from a practical problem  the absence of accessible quantitative tools for Vietnamese retail investors then designs and builds a platform to address it, and finally evaluates whether the platform works as intended.</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RQ2 (Strategy design and backtesting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Demonstration of backtesting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Evaluation of assistant responses for evidence grounding and abstention behaviour</w:t>
            </w:r>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H4 (data validation pipeline) is not tied to a single RQ but underpins both RQ1 and RQ2: without validated data, the platform cannot produce reliable screening or backtesting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vnstock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FiinPro or CafeF</w:t>
      </w:r>
      <w:r w:rsidR="00DF4DC8">
        <w:rPr>
          <w:rFonts w:eastAsia="Times New Roman"/>
        </w:rPr>
        <w:t xml:space="preserve"> </w:t>
      </w:r>
      <w:r>
        <w:rPr>
          <w:rFonts w:eastAsia="Times New Roman"/>
        </w:rPr>
        <w:t xml:space="preserve">which offer curated, subscription-based financial data feeds the platform deliberately uses vnstock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Key characteristics of raw data accessed via vnstock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backtests</w:t>
      </w:r>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vnstock (Thinh Vu, 2023), characterising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r>
              <w:rPr>
                <w:rFonts w:eastAsia="Times New Roman"/>
                <w:b/>
                <w:sz w:val="22"/>
              </w:rPr>
              <w:t>Obs</w:t>
            </w:r>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sourced via vnstock.</w:t>
      </w:r>
      <w:bookmarkEnd w:id="26"/>
    </w:p>
    <w:p w14:paraId="58160F9C" w14:textId="77777777" w:rsidR="00B678ED" w:rsidRDefault="00000000">
      <w:pPr>
        <w:spacing w:after="120" w:line="360" w:lineRule="auto"/>
        <w:ind w:firstLine="720"/>
        <w:jc w:val="both"/>
      </w:pPr>
      <w:r>
        <w:rPr>
          <w:rFonts w:eastAsia="Times New Roman"/>
          <w:i/>
        </w:rPr>
        <w:t>Note: Prices are stored by vnstock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r>
        <w:rPr>
          <w:rFonts w:eastAsia="Times New Roman"/>
          <w:b/>
        </w:rPr>
        <w:t>Backtesting.</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Portfolio optimisation.</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maximises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i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(VaR)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(Artzner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Conditional VaR (CVaR), also termed Expected Shortfall, measures the expected loss beyond VaR (Rockafellar &amp; Uryasev,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VaR and CVaR at 95% and 99% confidence levels using historical simulation. Additional metrics include annualised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r>
        <w:rPr>
          <w:rFonts w:eastAsia="Times New Roman"/>
        </w:rPr>
        <w:t>backtesting,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in finance, a confidently wrong number is worse than no answer at all. This is consistent with Rajpurkar et al. (2018), who argued that recognising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Worked examples showing end-to-end workflows (screening → backtesting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Assessment of response grounding, including unsupported claim rate and abstention behaviour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2 are evaluated against the evidence gathered from platform development and demonstration. Results are discussed in </w:t>
      </w:r>
      <w:r w:rsidR="00D765E6">
        <w:rPr>
          <w:rFonts w:eastAsia="Times New Roman"/>
        </w:rPr>
        <w:t>Section</w:t>
      </w:r>
      <w:r>
        <w:rPr>
          <w:rFonts w:eastAsia="Times New Roman"/>
        </w:rPr>
        <w:t xml:space="preserve"> 4 (Section 4.7.5) and summarised in Appendix A.</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w:t>
      </w:r>
      <w:r w:rsidR="00D765E6">
        <w:rPr>
          <w:rFonts w:eastAsia="Times New Roman"/>
        </w:rPr>
        <w:t>section</w:t>
      </w:r>
      <w:r>
        <w:rPr>
          <w:rFonts w:eastAsia="Times New Roman"/>
        </w:rPr>
        <w:t xml:space="preserve"> presents the research results of QuantVN Strategy Forge, focusing on how each core capability addresses the identified gaps in quantitative tools for Vietnamese retail investors.</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r>
        <w:rPr>
          <w:rFonts w:eastAsia="Times New Roman"/>
        </w:rPr>
        <w:t xml:space="preserve">QuantVN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sidR="005C53C5">
        <w:rPr>
          <w:rFonts w:eastAsia="Times New Roman"/>
        </w:rPr>
        <w:t xml:space="preserve">Figure 1 </w:t>
      </w:r>
      <w:r>
        <w:rPr>
          <w:rFonts w:eastAsia="Times New Roman"/>
        </w:rPr>
        <w:t>shows the landing page, summarising the platform's scope.</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QuantVN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Systematic analytical workflow on the QuantVN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4.3 Strategy Backtesting with Vietnamese Market Parameters</w:t>
      </w:r>
      <w:bookmarkEnd w:id="35"/>
    </w:p>
    <w:p w14:paraId="08A1166D" w14:textId="77777777" w:rsidR="00B678ED" w:rsidRDefault="00000000">
      <w:pPr>
        <w:spacing w:after="120" w:line="360" w:lineRule="auto"/>
        <w:ind w:firstLine="720"/>
        <w:jc w:val="both"/>
      </w:pPr>
      <w:r>
        <w:rPr>
          <w:rFonts w:eastAsia="Times New Roman"/>
        </w:rPr>
        <w:t>A core contribution of the platform is its backtesting engine, which incorporates Vietnamese market-specific parameters that are absent from most international tools:</w:t>
      </w:r>
    </w:p>
    <w:p w14:paraId="26E619E2" w14:textId="77777777" w:rsidR="00B678ED" w:rsidRDefault="00000000">
      <w:pPr>
        <w:spacing w:after="60" w:line="360" w:lineRule="auto"/>
        <w:ind w:left="720"/>
        <w:jc w:val="both"/>
      </w:pPr>
      <w:r>
        <w:rPr>
          <w:rFonts w:eastAsia="Times New Roman"/>
        </w:rPr>
        <w:t xml:space="preserve">•  </w:t>
      </w:r>
      <w:r>
        <w:rPr>
          <w:rFonts w:eastAsia="Times New Roman"/>
          <w:b/>
        </w:rPr>
        <w:t>Lot size:</w:t>
      </w:r>
      <w:r>
        <w:rPr>
          <w:rFonts w:eastAsia="Times New Roman"/>
        </w:rPr>
        <w:t xml:space="preserve"> 100 shares per HOSE trading regulation.</w:t>
      </w:r>
    </w:p>
    <w:p w14:paraId="647BB51D" w14:textId="77777777" w:rsidR="00B678ED" w:rsidRDefault="00000000">
      <w:pPr>
        <w:spacing w:after="60" w:line="360" w:lineRule="auto"/>
        <w:ind w:left="720"/>
        <w:jc w:val="both"/>
      </w:pPr>
      <w:r>
        <w:rPr>
          <w:rFonts w:eastAsia="Times New Roman"/>
        </w:rPr>
        <w:t xml:space="preserve">•  </w:t>
      </w:r>
      <w:r>
        <w:rPr>
          <w:rFonts w:eastAsia="Times New Roman"/>
          <w:b/>
        </w:rPr>
        <w:t>Transaction costs:</w:t>
      </w:r>
      <w:r>
        <w:rPr>
          <w:rFonts w:eastAsia="Times New Roman"/>
        </w:rPr>
        <w:t xml:space="preserve"> Brokerage fee (0.15%), sell-side tax (0.1%), and estimated slippage (0.05%).</w:t>
      </w:r>
    </w:p>
    <w:p w14:paraId="78DFF458" w14:textId="77777777" w:rsidR="00B678ED" w:rsidRDefault="00000000">
      <w:pPr>
        <w:spacing w:after="60" w:line="360" w:lineRule="auto"/>
        <w:ind w:left="720"/>
        <w:jc w:val="both"/>
      </w:pPr>
      <w:r>
        <w:rPr>
          <w:rFonts w:eastAsia="Times New Roman"/>
        </w:rPr>
        <w:t xml:space="preserve">•  </w:t>
      </w:r>
      <w:r>
        <w:rPr>
          <w:rFonts w:eastAsia="Times New Roman"/>
          <w:b/>
        </w:rPr>
        <w:t>Execution model:</w:t>
      </w:r>
      <w:r>
        <w:rPr>
          <w:rFonts w:eastAsia="Times New Roman"/>
        </w:rPr>
        <w:t xml:space="preserve"> Next-open price execution, reflecting realistic retail order fills.</w:t>
      </w:r>
    </w:p>
    <w:p w14:paraId="42ADD9DE" w14:textId="330612EC" w:rsidR="00B678ED" w:rsidRDefault="00000000">
      <w:pPr>
        <w:spacing w:after="120" w:line="360" w:lineRule="auto"/>
        <w:ind w:firstLine="720"/>
        <w:jc w:val="both"/>
      </w:pPr>
      <w:r>
        <w:rPr>
          <w:rFonts w:eastAsia="Times New Roman"/>
        </w:rPr>
        <w:t>These parameters matter because ignoring them</w:t>
      </w:r>
      <w:r w:rsidR="005C53C5">
        <w:rPr>
          <w:rFonts w:eastAsia="Times New Roman"/>
        </w:rPr>
        <w:t xml:space="preserve"> </w:t>
      </w:r>
      <w:r>
        <w:rPr>
          <w:rFonts w:eastAsia="Times New Roman"/>
        </w:rPr>
        <w:t>as generic international platforms do</w:t>
      </w:r>
      <w:r w:rsidR="005C53C5">
        <w:rPr>
          <w:rFonts w:eastAsia="Times New Roman"/>
        </w:rPr>
        <w:t xml:space="preserve"> </w:t>
      </w:r>
      <w:r>
        <w:rPr>
          <w:rFonts w:eastAsia="Times New Roman"/>
        </w:rPr>
        <w:t>can make strategies look more profitable than they actually are, especially for approaches with small per-trade margins. The platform supports five strategy types: SMA Crossover, EMA Crossover, RSI Mean Reversion, Bollinger Bands, and Momentum.</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Backtesting process flow integrating data quality validation and Vietnamese market cost parameters.</w:t>
      </w:r>
      <w:bookmarkEnd w:id="36"/>
    </w:p>
    <w:p w14:paraId="4A86F9C3" w14:textId="77777777" w:rsidR="00B678ED" w:rsidRDefault="00000000">
      <w:pPr>
        <w:spacing w:after="120" w:line="360" w:lineRule="auto"/>
        <w:ind w:firstLine="720"/>
        <w:jc w:val="both"/>
      </w:pPr>
      <w:r>
        <w:rPr>
          <w:rFonts w:eastAsia="Times New Roman"/>
        </w:rPr>
        <w:t>Each backtest produces performance metrics including total return, CAGR, Sharpe ratio, Sortino ratio, maximum drawdown, win rate, and profit factor, alongside data quality diagnostics (coverage ratio, largest data gap, usable rows) that allow investors to assess result reliability.</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w:t>
      </w:r>
      <w:r w:rsidR="005C53C5">
        <w:rPr>
          <w:rFonts w:eastAsia="Times New Roman"/>
        </w:rPr>
        <w:t xml:space="preserve"> </w:t>
      </w:r>
      <w:r>
        <w:rPr>
          <w:rFonts w:eastAsia="Times New Roman"/>
        </w:rPr>
        <w:t>data sources, technical indicators, condition filters, and output metrics</w:t>
      </w:r>
      <w:r w:rsidR="005C53C5">
        <w:rPr>
          <w:rFonts w:eastAsia="Times New Roman"/>
        </w:rPr>
        <w:t xml:space="preserve"> </w:t>
      </w:r>
      <w:r>
        <w:rPr>
          <w:rFonts w:eastAsia="Times New Roman"/>
        </w:rPr>
        <w:t xml:space="preserve">without writing code. </w:t>
      </w:r>
      <w:r w:rsidR="005C53C5">
        <w:rPr>
          <w:rFonts w:eastAsia="Times New Roman"/>
        </w:rPr>
        <w:t xml:space="preserve">Figure 4 </w:t>
      </w:r>
      <w:r>
        <w:rPr>
          <w:rFonts w:eastAsia="Times New Roman"/>
        </w:rPr>
        <w:t>demonstrates a complete RSI Reversal strategy.</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4</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Visual Strategy Builder showing a drag-and-drop</w:t>
      </w:r>
      <w:bookmarkEnd w:id="38"/>
    </w:p>
    <w:p w14:paraId="2CF3112D" w14:textId="77777777" w:rsidR="00B678ED" w:rsidRDefault="00000000">
      <w:pPr>
        <w:spacing w:after="120" w:line="360" w:lineRule="auto"/>
        <w:ind w:firstLine="720"/>
        <w:jc w:val="both"/>
      </w:pPr>
      <w:r>
        <w:rPr>
          <w:rFonts w:eastAsia="Times New Roman"/>
        </w:rPr>
        <w:t>This visual approach lowers the barrier to quantitative strategy development, enabling retail investors to experiment with trading logic that traditionally requires programming expertise. Strategies built in the canvas can be directly backtested against historical HOSE data.</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4.5 Portfolio Optimisation and Risk Assessment</w:t>
      </w:r>
      <w:bookmarkEnd w:id="39"/>
    </w:p>
    <w:p w14:paraId="4330E1C3" w14:textId="3BA53D51" w:rsidR="00B678ED" w:rsidRDefault="00000000">
      <w:pPr>
        <w:spacing w:after="120" w:line="360" w:lineRule="auto"/>
        <w:ind w:firstLine="720"/>
        <w:jc w:val="both"/>
      </w:pPr>
      <w:r>
        <w:rPr>
          <w:rFonts w:eastAsia="Times New Roman"/>
        </w:rPr>
        <w:t>The platform implements four portfolio optimisation methods suited to different investor profiles: Mean-Variance (Markowitz), Risk Parity, Minimum Variance, and Maximum Sharpe. The optimiser automatically excludes assets with insufficient trading history (fewer than 60 days) or inadequate pairwise data overlap (below 30 days), which prevents the kind of unreliable allocations that can result from sparse data</w:t>
      </w:r>
      <w:r w:rsidR="005C53C5">
        <w:rPr>
          <w:rFonts w:eastAsia="Times New Roman"/>
        </w:rPr>
        <w:t xml:space="preserve"> </w:t>
      </w:r>
      <w:r>
        <w:rPr>
          <w:rFonts w:eastAsia="Times New Roman"/>
        </w:rPr>
        <w:t>particularly for symbols with shorter listing histories on HOSE.</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r>
              <w:rPr>
                <w:rFonts w:eastAsia="Times New Roman"/>
                <w:sz w:val="22"/>
              </w:rPr>
              <w:t>VaR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give retail investors access to the same risk management toolkit that institutional fund managers use.</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financial analysis questions by computing results through the platform’s own internal modules. When a user asks about a specific metric</w:t>
      </w:r>
      <w:r w:rsidR="005C53C5">
        <w:rPr>
          <w:rFonts w:eastAsia="Times New Roman"/>
        </w:rPr>
        <w:t xml:space="preserve"> </w:t>
      </w:r>
      <w:r>
        <w:rPr>
          <w:rFonts w:eastAsia="Times New Roman"/>
        </w:rPr>
        <w:t>say, the Sharpe ratio of a particular strategy</w:t>
      </w:r>
      <w:r w:rsidR="005C53C5">
        <w:rPr>
          <w:rFonts w:eastAsia="Times New Roman"/>
        </w:rPr>
        <w:t xml:space="preserve"> </w:t>
      </w:r>
      <w:r>
        <w:rPr>
          <w:rFonts w:eastAsia="Times New Roman"/>
        </w:rPr>
        <w:t>the assistant calls the relevant tool, retrieves the computed value, and builds its response around that number with an explicit data reference.</w:t>
      </w:r>
      <w:r w:rsidR="005C53C5">
        <w:t xml:space="preserve"> </w:t>
      </w:r>
      <w:r>
        <w:rPr>
          <w:rFonts w:eastAsia="Times New Roman"/>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The gap from </w:t>
      </w:r>
      <w:r w:rsidR="00D765E6">
        <w:rPr>
          <w:rFonts w:eastAsia="Times New Roman"/>
        </w:rPr>
        <w:t xml:space="preserve">Section </w:t>
      </w:r>
      <w:r>
        <w:rPr>
          <w:rFonts w:eastAsia="Times New Roman"/>
        </w:rPr>
        <w:t>1 and 2 is clear: institutional investors in Vietnam use terminals like Bloomberg and FiinPro, but retail investors</w:t>
      </w:r>
      <w:r w:rsidR="00D765E6">
        <w:rPr>
          <w:rFonts w:eastAsia="Times New Roman"/>
        </w:rPr>
        <w:t xml:space="preserve"> </w:t>
      </w:r>
      <w:r>
        <w:rPr>
          <w:rFonts w:eastAsia="Times New Roman"/>
        </w:rPr>
        <w:t>who make up over 80% of daily HOSE volume</w:t>
      </w:r>
      <w:r w:rsidR="00D765E6">
        <w:rPr>
          <w:rFonts w:eastAsia="Times New Roman"/>
        </w:rPr>
        <w:t xml:space="preserve"> </w:t>
      </w:r>
      <w:r>
        <w:rPr>
          <w:rFonts w:eastAsia="Times New Roman"/>
        </w:rPr>
        <w:t xml:space="preserve">have had no integrated quantitative toolset. QuantVN Strategy Forge is built to fill that space, putting screening, backtesting, portfolio optimisation, </w:t>
      </w:r>
      <w:r>
        <w:rPr>
          <w:rFonts w:eastAsia="Times New Roman"/>
        </w:rPr>
        <w:lastRenderedPageBreak/>
        <w:t>and risk assessment into one browser-based interface tailored for the Vietnamese market.</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Integrating HOSE's 100-share lot size, Vietnam's sell-side tax, and realistic execution assumptions into the backtesting engine makes a practical difference. Without these, strategies can look profitable in simulation while actually being unprofitable after local costs are factored in. This is not a theoretical concern</w:t>
      </w:r>
      <w:r w:rsidR="00D765E6">
        <w:rPr>
          <w:rFonts w:eastAsia="Times New Roman"/>
        </w:rPr>
        <w:t xml:space="preserve"> </w:t>
      </w:r>
      <w:r>
        <w:rPr>
          <w:rFonts w:eastAsia="Times New Roman"/>
        </w:rPr>
        <w:t>it directly affects how retail investors allocate capital.</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The validation pipeline traces every result back to verified inputs. Because the platform uses vnstock</w:t>
      </w:r>
      <w:r w:rsidR="00D765E6">
        <w:rPr>
          <w:rFonts w:eastAsia="Times New Roman"/>
        </w:rPr>
        <w:t xml:space="preserve"> </w:t>
      </w:r>
      <w:r>
        <w:rPr>
          <w:rFonts w:eastAsia="Times New Roman"/>
        </w:rPr>
        <w:t>a free but raw data source</w:t>
      </w:r>
      <w:r w:rsidR="00D765E6">
        <w:rPr>
          <w:rFonts w:eastAsia="Times New Roman"/>
        </w:rPr>
        <w:t xml:space="preserve"> </w:t>
      </w:r>
      <w:r>
        <w:rPr>
          <w:rFonts w:eastAsia="Times New Roman"/>
        </w:rPr>
        <w:t>corporate action gaps, trading halts, and coverage variations need to be handled explicitly. The pipeline makes these trade-offs visible rather than hiding them.</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r>
        <w:rPr>
          <w:rFonts w:eastAsia="Times New Roman"/>
        </w:rPr>
        <w:t>Backtesting results are historical and should not be read as predictions of future performance. Only technical analysis strategies are currently supported</w:t>
      </w:r>
      <w:r w:rsidR="00D765E6">
        <w:rPr>
          <w:rFonts w:eastAsia="Times New Roman"/>
        </w:rPr>
        <w:t xml:space="preserve"> </w:t>
      </w:r>
      <w:r>
        <w:rPr>
          <w:rFonts w:eastAsia="Times New Roman"/>
        </w:rPr>
        <w:t>fundamental and event-driven strategies are not yet available. Coverage is limited to HOSE; the HNX and UPCoM exchanges are not included.</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The results presented in this </w:t>
      </w:r>
      <w:r w:rsidR="00D765E6">
        <w:rPr>
          <w:rFonts w:eastAsia="Times New Roman"/>
        </w:rPr>
        <w:t>section</w:t>
      </w:r>
      <w:r>
        <w:rPr>
          <w:rFonts w:eastAsia="Times New Roman"/>
        </w:rPr>
        <w:t xml:space="preserve"> allow the research hypotheses (formulated in </w:t>
      </w:r>
      <w:r w:rsidR="00D765E6">
        <w:rPr>
          <w:rFonts w:eastAsia="Times New Roman"/>
        </w:rPr>
        <w:t>Section 2</w:t>
      </w:r>
      <w:r>
        <w:rPr>
          <w:rFonts w:eastAsia="Times New Roman"/>
        </w:rPr>
        <w:t>) to be evaluated as follows:</w:t>
      </w:r>
    </w:p>
    <w:p w14:paraId="2FCE89F6" w14:textId="57571C74" w:rsidR="00B678ED" w:rsidRDefault="00000000">
      <w:pPr>
        <w:spacing w:after="60" w:line="360" w:lineRule="auto"/>
        <w:ind w:left="720"/>
        <w:jc w:val="both"/>
      </w:pPr>
      <w:r>
        <w:rPr>
          <w:rFonts w:eastAsia="Times New Roman"/>
        </w:rPr>
        <w:t xml:space="preserve">•  </w:t>
      </w:r>
      <w:r>
        <w:rPr>
          <w:rFonts w:eastAsia="Times New Roman"/>
          <w:b/>
        </w:rPr>
        <w:t>H1</w:t>
      </w:r>
      <w:r>
        <w:rPr>
          <w:rFonts w:eastAsia="Times New Roman"/>
        </w:rPr>
        <w:t xml:space="preserve"> </w:t>
      </w:r>
      <w:r>
        <w:rPr>
          <w:rFonts w:eastAsia="Times New Roman"/>
          <w:i/>
        </w:rPr>
        <w:t>(Platform accessibility without programming knowledge)</w:t>
      </w:r>
      <w:r w:rsidR="00DF4DC8">
        <w:rPr>
          <w:rFonts w:eastAsia="Times New Roman"/>
        </w:rPr>
        <w:t xml:space="preserve"> </w:t>
      </w:r>
      <w:r>
        <w:rPr>
          <w:rFonts w:eastAsia="Times New Roman"/>
          <w:b/>
        </w:rPr>
        <w:t>Supported.</w:t>
      </w:r>
      <w:r>
        <w:rPr>
          <w:rFonts w:eastAsia="Times New Roman"/>
        </w:rPr>
        <w:t xml:space="preserve"> The platform is fully browser-based with 8 modules covering all identified analytical gaps (</w:t>
      </w:r>
      <w:r w:rsidR="00DF4DC8">
        <w:rPr>
          <w:rFonts w:eastAsia="Times New Roman"/>
        </w:rPr>
        <w:t>Table 2</w:t>
      </w:r>
      <w:r>
        <w:rPr>
          <w:rFonts w:eastAsia="Times New Roman"/>
        </w:rPr>
        <w:t>). No installation or coding is required.</w:t>
      </w:r>
    </w:p>
    <w:p w14:paraId="218F6A73" w14:textId="1FA5E887" w:rsidR="00B678ED" w:rsidRDefault="00000000">
      <w:pPr>
        <w:spacing w:after="60" w:line="360" w:lineRule="auto"/>
        <w:ind w:left="720"/>
        <w:jc w:val="both"/>
      </w:pPr>
      <w:r>
        <w:rPr>
          <w:rFonts w:eastAsia="Times New Roman"/>
        </w:rPr>
        <w:t xml:space="preserve">•  </w:t>
      </w:r>
      <w:r>
        <w:rPr>
          <w:rFonts w:eastAsia="Times New Roman"/>
          <w:b/>
        </w:rPr>
        <w:t>H2</w:t>
      </w:r>
      <w:r>
        <w:rPr>
          <w:rFonts w:eastAsia="Times New Roman"/>
        </w:rPr>
        <w:t xml:space="preserve"> </w:t>
      </w:r>
      <w:r>
        <w:rPr>
          <w:rFonts w:eastAsia="Times New Roman"/>
          <w:i/>
        </w:rPr>
        <w:t>(Vietnamese market parameters improve backtest realism)</w:t>
      </w:r>
      <w:r w:rsidR="00DF4DC8">
        <w:rPr>
          <w:rFonts w:eastAsia="Times New Roman"/>
        </w:rPr>
        <w:t xml:space="preserve"> </w:t>
      </w:r>
      <w:r>
        <w:rPr>
          <w:rFonts w:eastAsia="Times New Roman"/>
          <w:b/>
        </w:rPr>
        <w:t>Supported.</w:t>
      </w:r>
      <w:r>
        <w:rPr>
          <w:rFonts w:eastAsia="Times New Roman"/>
        </w:rPr>
        <w:t xml:space="preserve"> Section 4.3 demonstrates integration of HOSE's 100-share lot size, local </w:t>
      </w:r>
      <w:r>
        <w:rPr>
          <w:rFonts w:eastAsia="Times New Roman"/>
        </w:rPr>
        <w:lastRenderedPageBreak/>
        <w:t>transaction costs, and next-open execution all absent from existing international tools.</w:t>
      </w:r>
    </w:p>
    <w:p w14:paraId="15F38D94" w14:textId="5EBAF3D9" w:rsidR="00B678ED" w:rsidRDefault="00000000">
      <w:pPr>
        <w:spacing w:after="60" w:line="360" w:lineRule="auto"/>
        <w:ind w:left="720"/>
        <w:jc w:val="both"/>
      </w:pPr>
      <w:r>
        <w:rPr>
          <w:rFonts w:eastAsia="Times New Roman"/>
        </w:rPr>
        <w:t xml:space="preserve">•  </w:t>
      </w:r>
      <w:r>
        <w:rPr>
          <w:rFonts w:eastAsia="Times New Roman"/>
          <w:b/>
        </w:rPr>
        <w:t>H3</w:t>
      </w:r>
      <w:r>
        <w:rPr>
          <w:rFonts w:eastAsia="Times New Roman"/>
        </w:rPr>
        <w:t xml:space="preserve"> </w:t>
      </w:r>
      <w:r>
        <w:rPr>
          <w:rFonts w:eastAsia="Times New Roman"/>
          <w:i/>
        </w:rPr>
        <w:t>(No-code strategy builder for non-technical investors)</w:t>
      </w:r>
      <w:r>
        <w:rPr>
          <w:rFonts w:eastAsia="Times New Roman"/>
        </w:rPr>
        <w:t xml:space="preserve"> </w:t>
      </w:r>
      <w:r w:rsidR="00DF4DC8">
        <w:rPr>
          <w:rFonts w:eastAsia="Times New Roman"/>
        </w:rPr>
        <w:t xml:space="preserve"> </w:t>
      </w:r>
      <w:r>
        <w:rPr>
          <w:rFonts w:eastAsia="Times New Roman"/>
          <w:b/>
        </w:rPr>
        <w:t>Supported.</w:t>
      </w:r>
      <w:r>
        <w:rPr>
          <w:rFonts w:eastAsia="Times New Roman"/>
        </w:rPr>
        <w:t xml:space="preserve"> Section 4.4 demonstrates end-to-end strategy construction without code, addressing the gap in HOSE-compatible no-code tools.</w:t>
      </w:r>
    </w:p>
    <w:p w14:paraId="3B8B2B67" w14:textId="6B57F70C" w:rsidR="00B678ED" w:rsidRDefault="00000000">
      <w:pPr>
        <w:spacing w:after="60" w:line="360" w:lineRule="auto"/>
        <w:ind w:left="720"/>
        <w:jc w:val="both"/>
      </w:pPr>
      <w:r>
        <w:rPr>
          <w:rFonts w:eastAsia="Times New Roman"/>
        </w:rPr>
        <w:t xml:space="preserve">•  </w:t>
      </w:r>
      <w:r>
        <w:rPr>
          <w:rFonts w:eastAsia="Times New Roman"/>
          <w:b/>
        </w:rPr>
        <w:t>H4</w:t>
      </w:r>
      <w:r>
        <w:rPr>
          <w:rFonts w:eastAsia="Times New Roman"/>
        </w:rPr>
        <w:t xml:space="preserve"> </w:t>
      </w:r>
      <w:r>
        <w:rPr>
          <w:rFonts w:eastAsia="Times New Roman"/>
          <w:i/>
        </w:rPr>
        <w:t>(Data validation ensures reliability for open-source data)</w:t>
      </w:r>
      <w:r>
        <w:rPr>
          <w:rFonts w:eastAsia="Times New Roman"/>
        </w:rPr>
        <w:t xml:space="preserve"> </w:t>
      </w:r>
      <w:r>
        <w:rPr>
          <w:rFonts w:eastAsia="Times New Roman"/>
          <w:b/>
        </w:rPr>
        <w:t>Supported.</w:t>
      </w:r>
      <w:r>
        <w:rPr>
          <w:rFonts w:eastAsia="Times New Roman"/>
        </w:rPr>
        <w:t xml:space="preserve"> The pipeline validates 768,718 records with explicit quality gates and diagnostics reported alongside every backtest result.</w:t>
      </w:r>
    </w:p>
    <w:p w14:paraId="650CD094" w14:textId="47AFA608" w:rsidR="00B678ED" w:rsidRDefault="00000000">
      <w:pPr>
        <w:spacing w:after="60" w:line="360" w:lineRule="auto"/>
        <w:ind w:left="720"/>
        <w:jc w:val="both"/>
      </w:pPr>
      <w:r>
        <w:rPr>
          <w:rFonts w:eastAsia="Times New Roman"/>
        </w:rPr>
        <w:t xml:space="preserve">•  </w:t>
      </w:r>
      <w:r>
        <w:rPr>
          <w:rFonts w:eastAsia="Times New Roman"/>
          <w:b/>
        </w:rPr>
        <w:t>H5</w:t>
      </w:r>
      <w:r>
        <w:rPr>
          <w:rFonts w:eastAsia="Times New Roman"/>
        </w:rPr>
        <w:t xml:space="preserve"> </w:t>
      </w:r>
      <w:r>
        <w:rPr>
          <w:rFonts w:eastAsia="Times New Roman"/>
          <w:i/>
        </w:rPr>
        <w:t>(AI assistant with abstention avoids misleading outputs)</w:t>
      </w:r>
      <w:r w:rsidR="00DF4DC8">
        <w:rPr>
          <w:rFonts w:eastAsia="Times New Roman"/>
        </w:rPr>
        <w:t xml:space="preserve"> </w:t>
      </w:r>
      <w:r>
        <w:rPr>
          <w:rFonts w:eastAsia="Times New Roman"/>
          <w:b/>
        </w:rPr>
        <w:t>Partially Supported.</w:t>
      </w:r>
      <w:r>
        <w:rPr>
          <w:rFonts w:eastAsia="Times New Roman"/>
        </w:rPr>
        <w:t xml:space="preserve"> Section 4.6 demonstrates the grounding mechanism and abstention policy; formal user evaluation has not been conducted.</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This </w:t>
      </w:r>
      <w:r w:rsidR="00D765E6">
        <w:rPr>
          <w:rFonts w:eastAsia="Times New Roman"/>
        </w:rPr>
        <w:t>section</w:t>
      </w:r>
      <w:r>
        <w:rPr>
          <w:rFonts w:eastAsia="Times New Roman"/>
        </w:rPr>
        <w:t xml:space="preserve"> has walked through the core capabilities of QuantVN Strategy Forge and the evidence for each research hypothesis. The platform fills a practical gap: Vietnamese retail investors can now screen stocks, backtest strategies with local market parameters, optimise portfolios, and assess risk all in one interface, without needing to code or install anything.</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This thesis set out to design, build, and evaluate QuantVN Strategy Forge a web-based quantitative analysis platform for Vietnamese equities on HOSE. The motivation is simple: retail investors make up over 80% of daily HOSE trading volume, yet they have had no access to integrated quantitative tools of the kind that institutional investors take for granted.</w:t>
      </w:r>
    </w:p>
    <w:p w14:paraId="65F3B199" w14:textId="7A81D2C9" w:rsidR="00B678ED" w:rsidRDefault="00000000">
      <w:pPr>
        <w:spacing w:after="120" w:line="360" w:lineRule="auto"/>
        <w:ind w:firstLine="720"/>
        <w:jc w:val="both"/>
      </w:pPr>
      <w:r>
        <w:rPr>
          <w:rFonts w:eastAsia="Times New Roman"/>
        </w:rPr>
        <w:t xml:space="preserve">The platform brings together stock screening, interactive charting, strategy backtesting, portfolio optimisation, risk assessment, and AI-assisted analysis in a single browser-based interface. The backtesting engine is built around Vietnamese market realities: HOSE's 100-share lot size, applicable transaction costs, and next-open execution modelling </w:t>
      </w:r>
      <w:r w:rsidR="00D765E6">
        <w:rPr>
          <w:rFonts w:eastAsia="Times New Roman"/>
        </w:rPr>
        <w:t xml:space="preserve"> </w:t>
      </w:r>
      <w:r>
        <w:rPr>
          <w:rFonts w:eastAsia="Times New Roman"/>
        </w:rPr>
        <w:t>details that generic international tools do not account for.</w:t>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w:t>
      </w:r>
      <w:r w:rsidR="00D765E6">
        <w:rPr>
          <w:rFonts w:eastAsia="Times New Roman"/>
        </w:rPr>
        <w:t>Section</w:t>
      </w:r>
      <w:r>
        <w:rPr>
          <w:rFonts w:eastAsia="Times New Roman"/>
        </w:rPr>
        <w:t xml:space="preserve">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w:t>
      </w:r>
      <w:r w:rsidR="00D765E6">
        <w:rPr>
          <w:rFonts w:eastAsia="Times New Roman"/>
        </w:rPr>
        <w:t xml:space="preserve"> </w:t>
      </w:r>
      <w:r>
        <w:rPr>
          <w:rFonts w:eastAsia="Times New Roman"/>
        </w:rPr>
        <w:t>the AI assistant's abstention mechanism functions as designed, but its effect on user trust has not been formally evaluated. Detailed evidence and limitations for each hypothesis are provided in Section 4.7.5 and Appendix A.</w:t>
      </w:r>
    </w:p>
    <w:p w14:paraId="4E7504B4" w14:textId="77777777" w:rsidR="00B678ED" w:rsidRDefault="00000000">
      <w:pPr>
        <w:spacing w:after="120" w:line="360" w:lineRule="auto"/>
        <w:ind w:firstLine="720"/>
        <w:jc w:val="both"/>
      </w:pPr>
      <w:r>
        <w:rPr>
          <w:rFonts w:eastAsia="Times New Roman"/>
        </w:rPr>
        <w:t>The main limitation across all hypotheses is the absence of formal user studies. The claims are grounded in design implementation and functional demonstration rather than controlled experiments with end users. This is an acknowledged trade-off: building a working platform was prioritised over running user evaluations within the scope of this thesis.</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1.  Expand data coverage to include HNX and UPCoM exchanges, giving users a more complete picture of the Vietnamese equity market.</w:t>
      </w:r>
    </w:p>
    <w:p w14:paraId="45871725" w14:textId="77777777" w:rsidR="00B678ED" w:rsidRDefault="00000000">
      <w:pPr>
        <w:spacing w:after="60" w:line="360" w:lineRule="auto"/>
        <w:ind w:left="720"/>
        <w:jc w:val="both"/>
      </w:pPr>
      <w:r>
        <w:rPr>
          <w:rFonts w:eastAsia="Times New Roman"/>
        </w:rPr>
        <w:t>1.  Add corporate action adjustments (splits, dividends, rights issues) to historical price data. Without these, long-term backtests can produce misleading return calculations.</w:t>
      </w:r>
    </w:p>
    <w:p w14:paraId="6A8FB052" w14:textId="77777777" w:rsidR="00B678ED" w:rsidRDefault="00000000">
      <w:pPr>
        <w:spacing w:after="60" w:line="360" w:lineRule="auto"/>
        <w:ind w:left="720"/>
        <w:jc w:val="both"/>
      </w:pPr>
      <w:r>
        <w:rPr>
          <w:rFonts w:eastAsia="Times New Roman"/>
        </w:rPr>
        <w:t>1.  Move beyond purely technical strategies. Fundamental screening strategies (based on P/E, P/B, ROE) and multi-factor strategies that combine price and fundamental signals would significantly broaden the platform's usefulness.</w:t>
      </w:r>
    </w:p>
    <w:p w14:paraId="256C1760" w14:textId="48BA128A" w:rsidR="00B678ED" w:rsidRDefault="00000000">
      <w:pPr>
        <w:spacing w:after="60" w:line="360" w:lineRule="auto"/>
        <w:ind w:left="720"/>
        <w:jc w:val="both"/>
      </w:pPr>
      <w:r>
        <w:rPr>
          <w:rFonts w:eastAsia="Times New Roman"/>
        </w:rPr>
        <w:t>1.  Build a strategy-sharing community where users can publish, compare, and discuss backtested strategies turning the platform into a collaborative learning environment.</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1.  Run comparative studies between the platform's backtesting outputs and actual trading records of Vietnamese retail investors. This would provide concrete evidence of whether systematic tools improve decision-making quality.</w:t>
      </w:r>
    </w:p>
    <w:p w14:paraId="5F3A0FE2" w14:textId="77777777" w:rsidR="00B678ED" w:rsidRDefault="00000000">
      <w:pPr>
        <w:spacing w:after="60" w:line="360" w:lineRule="auto"/>
        <w:ind w:left="720"/>
        <w:jc w:val="both"/>
      </w:pPr>
      <w:r>
        <w:rPr>
          <w:rFonts w:eastAsia="Times New Roman"/>
        </w:rPr>
        <w:t>1.  Test which portfolio optimisation methods actually work best in the Vietnamese market, where liquidity constraints and market microstructure are different from the developed-market settings where most optimisation methods were originally tested.</w:t>
      </w:r>
    </w:p>
    <w:p w14:paraId="51802C97" w14:textId="77777777" w:rsidR="00B678ED" w:rsidRDefault="00000000">
      <w:pPr>
        <w:spacing w:after="60" w:line="360" w:lineRule="auto"/>
        <w:ind w:left="720"/>
        <w:jc w:val="both"/>
      </w:pPr>
      <w:r>
        <w:rPr>
          <w:rFonts w:eastAsia="Times New Roman"/>
        </w:rPr>
        <w:t>1.  Study how users respond to the AI assistant's abstention behaviour. The right balance between "reliable but conservative" and "comprehensive but risky" is an open question in financial technology design.</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r>
        <w:rPr>
          <w:rFonts w:eastAsia="Times New Roman"/>
          <w:sz w:val="24"/>
        </w:rPr>
        <w:t xml:space="preserve">Algotrade.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r>
        <w:rPr>
          <w:rFonts w:eastAsia="Times New Roman"/>
          <w:sz w:val="24"/>
        </w:rPr>
        <w:t xml:space="preserve">Artzner, P., Delbaen,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Borwein, J. M., López de Prado, M., &amp; Zhu, Q. J. (2016). The probability of backtest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Borova, I., Langdon, D., Moussa, R., Beane, M., Huang, T.-H., Routledge, B. R., &amp; Wang, W. Y. (2021). FinQA: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Schockaert, S. (2023). RAGAS: Automated evaluation of retrieval augmented generation. </w:t>
      </w:r>
      <w:r>
        <w:rPr>
          <w:rFonts w:eastAsia="Times New Roman"/>
          <w:i/>
          <w:sz w:val="24"/>
        </w:rPr>
        <w:t>arXiv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r>
        <w:rPr>
          <w:rFonts w:eastAsia="Times New Roman"/>
          <w:sz w:val="24"/>
        </w:rPr>
        <w:t xml:space="preserve">FiinPro. (2024). </w:t>
      </w:r>
      <w:r>
        <w:rPr>
          <w:rFonts w:eastAsia="Times New Roman"/>
          <w:i/>
          <w:sz w:val="24"/>
        </w:rPr>
        <w:t>Vietnam securities market overview 2024</w:t>
      </w:r>
      <w:r>
        <w:rPr>
          <w:rFonts w:eastAsia="Times New Roman"/>
          <w:sz w:val="24"/>
        </w:rPr>
        <w:t>. FiinGroup.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Quy chế giao dịch chứng khoán tại Sở Giao dịch Chứng khoán Thành phố Hồ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Piktus, A., Petroni, F., Karpukhin, V., Goyal, N., Küttler, H., Lewis, M., Yih, W., Rocktäschel,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TruthfulQA: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Teïletche,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Iyyer, M., Zettlemoyer, L., &amp; Hajishirzi, H. (2023). FActScore: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r>
        <w:rPr>
          <w:rFonts w:eastAsia="Times New Roman"/>
          <w:sz w:val="24"/>
        </w:rPr>
        <w:t xml:space="preserve">Miquant. (n.d.). </w:t>
      </w:r>
      <w:r>
        <w:rPr>
          <w:rFonts w:eastAsia="Times New Roman"/>
          <w:i/>
          <w:sz w:val="24"/>
        </w:rPr>
        <w:t>Nền tảng đầu tư định lượng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r>
        <w:rPr>
          <w:rFonts w:eastAsia="Times New Roman"/>
          <w:sz w:val="24"/>
        </w:rPr>
        <w:t xml:space="preserve">Rajpurkar, P., Jia, R., &amp; Liang, P. (2018). Know what you don't know: Unanswerable questions for SQuAD.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r>
        <w:rPr>
          <w:rFonts w:eastAsia="Times New Roman"/>
          <w:sz w:val="24"/>
        </w:rPr>
        <w:t xml:space="preserve">Rockafellar,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SSI iBoard Nền tảng giao dịch chứng khoán</w:t>
      </w:r>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r>
        <w:rPr>
          <w:rFonts w:eastAsia="Times New Roman"/>
          <w:i/>
          <w:sz w:val="24"/>
        </w:rPr>
        <w:t>Tổng Công ty Cổ phần Chứng khoán Kỹ thương</w:t>
      </w:r>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r>
        <w:rPr>
          <w:rFonts w:eastAsia="Times New Roman"/>
          <w:i/>
          <w:sz w:val="24"/>
        </w:rPr>
        <w:t>vnstock: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r>
        <w:rPr>
          <w:rFonts w:eastAsia="Times New Roman"/>
          <w:sz w:val="24"/>
        </w:rPr>
        <w:t xml:space="preserve">TradingView. (n.d.). </w:t>
      </w:r>
      <w:r>
        <w:rPr>
          <w:rFonts w:eastAsia="Times New Roman"/>
          <w:i/>
          <w:sz w:val="24"/>
        </w:rPr>
        <w:t>TradingView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Lanjouw,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Quy trình thanh toán giao dịch chứng khoán</w:t>
      </w:r>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r>
        <w:rPr>
          <w:rFonts w:eastAsia="Times New Roman"/>
          <w:sz w:val="24"/>
        </w:rPr>
        <w:t xml:space="preserve">VNDirect. (n.d.). </w:t>
      </w:r>
      <w:r>
        <w:rPr>
          <w:rFonts w:eastAsia="Times New Roman"/>
          <w:i/>
          <w:sz w:val="24"/>
        </w:rPr>
        <w:t>VNDirect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Irsoy, O., Lu, S., Dabravolski, V., Dredze, M., Gehrmann, S., Kambadur, P., Rosenberg, D., &amp; Mann, G. (2023). BloombergGPT: A large language model for finance. </w:t>
      </w:r>
      <w:r>
        <w:rPr>
          <w:rFonts w:eastAsia="Times New Roman"/>
          <w:i/>
          <w:sz w:val="24"/>
        </w:rPr>
        <w:t>arXiv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FinGPT: Open-source financial large language models. </w:t>
      </w:r>
      <w:r>
        <w:rPr>
          <w:rFonts w:eastAsia="Times New Roman"/>
          <w:i/>
          <w:sz w:val="24"/>
        </w:rPr>
        <w:t>arXiv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This appendix evaluates the research hypotheses formulated in  2 against the evidence gathered from the platform development and demonstrated results.</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Platform deployed with 8 functional modules covering screening, backtesting, portfolio optimisation,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Incorporating Vietnamese market-specific parameters (lot size, transaction costs, execution model) into backtesting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r>
              <w:rPr>
                <w:rFonts w:eastAsia="Times New Roman"/>
                <w:sz w:val="22"/>
              </w:rPr>
              <w:t>Backtesting engine integrates HOSE's 100-share lot size, 0.15% brokerage fee, 0.1% sell tax, and next-open execution parameters absent from generic international tools</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A no-code visual strategy builder can enable non-technical retail investors on HOSE to design, backtest, and iterate on quantitative strategies addressing the gap left by existing no-code platforms (Zerodha Streak, AlgoBulls) that do not support HOSE</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Strategy Builder provides drag-and-drop node-based interface; users construct and backtest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vnstock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categorisation,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The platform provides 8 integrated modules (Stock Screener, Charts &amp; Analysis, Backtesting, Portfolio Optimisation, Risk Management, Factor Analysis, Strategy Builder, AI Assistant) accessible through a web browser.</w:t>
      </w:r>
    </w:p>
    <w:p w14:paraId="11073214" w14:textId="77777777" w:rsidR="00B678ED" w:rsidRDefault="00000000">
      <w:pPr>
        <w:spacing w:after="60" w:line="360" w:lineRule="auto"/>
        <w:ind w:left="720"/>
        <w:jc w:val="both"/>
      </w:pPr>
      <w:r>
        <w:rPr>
          <w:rFonts w:eastAsia="Times New Roman"/>
        </w:rPr>
        <w:t>•  No installation, programming knowledge, or specialised software is required.</w:t>
      </w:r>
    </w:p>
    <w:p w14:paraId="5C18E7AE" w14:textId="77777777" w:rsidR="00B678ED" w:rsidRDefault="00000000">
      <w:pPr>
        <w:spacing w:after="60" w:line="360" w:lineRule="auto"/>
        <w:ind w:left="720"/>
        <w:jc w:val="both"/>
      </w:pPr>
      <w:r>
        <w:rPr>
          <w:rFonts w:eastAsia="Times New Roman"/>
        </w:rPr>
        <w:t>•  The user interface is designed with Vietnamese language support and contextual guidance.</w:t>
      </w:r>
    </w:p>
    <w:p w14:paraId="427CE3D0" w14:textId="77777777" w:rsidR="00B678ED" w:rsidRDefault="00000000">
      <w:pPr>
        <w:spacing w:after="60" w:line="360" w:lineRule="auto"/>
        <w:ind w:left="720"/>
        <w:jc w:val="both"/>
      </w:pPr>
      <w:r>
        <w:rPr>
          <w:rFonts w:eastAsia="Times New Roman"/>
        </w:rPr>
        <w:t>•  The stock screener covers 412 actively traded HOSE symbols with multi-criteria filtering (industry sector, liquidity range, listing status).</w:t>
      </w:r>
    </w:p>
    <w:p w14:paraId="4C3C8817" w14:textId="77777777" w:rsidR="00B678ED" w:rsidRDefault="00000000">
      <w:pPr>
        <w:spacing w:after="60" w:line="360" w:lineRule="auto"/>
        <w:ind w:left="720"/>
        <w:jc w:val="both"/>
      </w:pPr>
      <w:r>
        <w:rPr>
          <w:rFonts w:eastAsia="Times New Roman"/>
        </w:rPr>
        <w:t>•  A unified sidebar navigation structure allows access to all modules from a single workspace.</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The backtesting engine applies HOSE's 100-share lot size by default, which affects position sizing and prevents fractional-lot trades that would be impossible in practice.</w:t>
      </w:r>
    </w:p>
    <w:p w14:paraId="300989D7" w14:textId="77777777" w:rsidR="00B678ED" w:rsidRDefault="00000000">
      <w:pPr>
        <w:spacing w:after="60" w:line="360" w:lineRule="auto"/>
        <w:ind w:left="720"/>
        <w:jc w:val="both"/>
      </w:pPr>
      <w:r>
        <w:rPr>
          <w:rFonts w:eastAsia="Times New Roman"/>
        </w:rPr>
        <w:t>•  Transaction costs (brokerage fee, sell tax, slippage) are applied at trade execution, reducing simulated returns to realistic net-of-cost levels.</w:t>
      </w:r>
    </w:p>
    <w:p w14:paraId="78F9D644" w14:textId="77777777" w:rsidR="00B678ED" w:rsidRDefault="00000000">
      <w:pPr>
        <w:spacing w:after="60" w:line="360" w:lineRule="auto"/>
        <w:ind w:left="720"/>
        <w:jc w:val="both"/>
      </w:pPr>
      <w:r>
        <w:rPr>
          <w:rFonts w:eastAsia="Times New Roman"/>
        </w:rPr>
        <w:t>•  Next-open execution model avoids the common backtest pitfall of assuming execution at the signal-generating close price.</w:t>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backtest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Zerodha Streak (India), uTrade Algos, and AlgoBulls</w:t>
      </w:r>
      <w:r w:rsidR="00DF4DC8">
        <w:rPr>
          <w:rFonts w:eastAsia="Times New Roman"/>
        </w:rPr>
        <w:t xml:space="preserve"> </w:t>
      </w:r>
      <w:r>
        <w:rPr>
          <w:rFonts w:eastAsia="Times New Roman"/>
        </w:rPr>
        <w:t>offer visual, code-free strategy design and backtesting.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with node types: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directly executed against historical HOSE data.</w:t>
      </w:r>
    </w:p>
    <w:p w14:paraId="7879CE97" w14:textId="0A98F882" w:rsidR="00B678ED" w:rsidRDefault="00000000">
      <w:pPr>
        <w:spacing w:after="60" w:line="360" w:lineRule="auto"/>
        <w:ind w:left="720"/>
        <w:jc w:val="both"/>
      </w:pPr>
      <w:r>
        <w:rPr>
          <w:rFonts w:eastAsia="Times New Roman"/>
        </w:rPr>
        <w:t>•  The demonstrated RSI Reversal strategy (</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Figure 4.4</w:t>
      </w:r>
      <w:r>
        <w:rPr>
          <w:rFonts w:eastAsia="Times New Roman"/>
        </w:rPr>
        <w:fldChar w:fldCharType="end"/>
      </w:r>
      <w:r>
        <w:rPr>
          <w:rFonts w:eastAsia="Times New Roman"/>
        </w:rPr>
        <w:t xml:space="preserve">) shows a complete workflow from data loading through condition filtering to performance evaluation </w:t>
      </w:r>
      <w:r w:rsidR="00DF4DC8">
        <w:rPr>
          <w:rFonts w:eastAsia="Times New Roman"/>
        </w:rPr>
        <w:t xml:space="preserve"> </w:t>
      </w:r>
      <w:r>
        <w:rPr>
          <w:rFonts w:eastAsia="Times New Roman"/>
        </w:rPr>
        <w:t>all without code.</w:t>
      </w:r>
    </w:p>
    <w:p w14:paraId="73F7757B" w14:textId="77777777" w:rsidR="00B678ED" w:rsidRDefault="00000000">
      <w:pPr>
        <w:spacing w:after="60" w:line="360" w:lineRule="auto"/>
        <w:ind w:left="720"/>
        <w:jc w:val="both"/>
      </w:pPr>
      <w:r>
        <w:rPr>
          <w:rFonts w:eastAsia="Times New Roman"/>
        </w:rPr>
        <w:lastRenderedPageBreak/>
        <w:t>•  The visual node graph provides an explicit representation of data flow that non-technical users can read and modify.</w:t>
      </w:r>
    </w:p>
    <w:p w14:paraId="7762EEFC" w14:textId="77777777" w:rsidR="00B678ED" w:rsidRDefault="00000000">
      <w:pPr>
        <w:spacing w:after="120" w:line="360" w:lineRule="auto"/>
        <w:ind w:firstLine="720"/>
        <w:jc w:val="both"/>
      </w:pPr>
      <w:r>
        <w:rPr>
          <w:rFonts w:eastAsia="Times New Roman"/>
          <w:b/>
        </w:rPr>
        <w:t>Limitation:</w:t>
      </w:r>
      <w:r>
        <w:rPr>
          <w:rFonts w:eastAsia="Times New Roman"/>
        </w:rPr>
        <w:t xml:space="preserve"> No user study has been conducted to formally measure whether non-technical investors can successfully build strategies independently. The hypothesis is supported by the existence of the feature and its design principles, with implicit comparison to the absence of HOSE-compatible no-code alternatives.</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(FiinPro, CafeF, VietstockFinance) that offer curated, subscription-based data feeds, and free open-source alternatives. The platform deliberately uses vnstock as a freely accessible data source to maintain accessibility for retail investors. Raw data accessed via vnstock</w:t>
      </w:r>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records with validation rules including: non-null fields, positive prices, logical price relationships (High ≥ Low, High ≥ Close, Low ≤ Open), and finite numeric values.</w:t>
      </w:r>
    </w:p>
    <w:p w14:paraId="608AC2DA" w14:textId="77777777" w:rsidR="00B678ED" w:rsidRDefault="00000000">
      <w:pPr>
        <w:spacing w:after="60" w:line="360" w:lineRule="auto"/>
        <w:ind w:left="720"/>
        <w:jc w:val="both"/>
      </w:pPr>
      <w:r>
        <w:rPr>
          <w:rFonts w:eastAsia="Times New Roman"/>
        </w:rPr>
        <w:t>•  Rejected records are categorised by failure reason, enabling root cause analysis.</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Data manifest records coverage statistics for each dataset, providing transparency on how much data was available and used.</w:t>
      </w:r>
    </w:p>
    <w:p w14:paraId="025FD1B2" w14:textId="77777777" w:rsidR="00B678ED" w:rsidRDefault="00000000">
      <w:pPr>
        <w:spacing w:after="60" w:line="360" w:lineRule="auto"/>
        <w:ind w:left="720"/>
        <w:jc w:val="both"/>
      </w:pPr>
      <w:r>
        <w:rPr>
          <w:rFonts w:eastAsia="Times New Roman"/>
        </w:rPr>
        <w:t>•  Portfolio optimisation automatically excludes assets with fewer than 60 days of history or insufficient pairwise data overlap (&lt; 30 days).</w:t>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The assistant retrieves computed results from internal modules before generating responses.</w:t>
      </w:r>
    </w:p>
    <w:p w14:paraId="60A40DCE" w14:textId="77777777" w:rsidR="00B678ED" w:rsidRDefault="00000000">
      <w:pPr>
        <w:spacing w:after="60" w:line="360" w:lineRule="auto"/>
        <w:ind w:left="720"/>
        <w:jc w:val="both"/>
      </w:pPr>
      <w:r>
        <w:rPr>
          <w:rFonts w:eastAsia="Times New Roman"/>
        </w:rPr>
        <w:t>•  Policy gating ensures numeric claims are backed by internal computation.</w:t>
      </w:r>
    </w:p>
    <w:p w14:paraId="10B29292" w14:textId="77777777" w:rsidR="00B678ED" w:rsidRDefault="00000000">
      <w:pPr>
        <w:spacing w:after="60" w:line="360" w:lineRule="auto"/>
        <w:ind w:left="720"/>
        <w:jc w:val="both"/>
      </w:pPr>
      <w:r>
        <w:rPr>
          <w:rFonts w:eastAsia="Times New Roman"/>
        </w:rPr>
        <w:t>•  When the assistant cannot ground a response, it explicitly declines with an explanation rather than generating a plausible but potentially false answer.</w:t>
      </w:r>
    </w:p>
    <w:p w14:paraId="2DADB2BF" w14:textId="77777777" w:rsidR="00B678ED" w:rsidRDefault="00000000">
      <w:pPr>
        <w:spacing w:after="60" w:line="360" w:lineRule="auto"/>
        <w:ind w:left="720"/>
        <w:jc w:val="both"/>
      </w:pPr>
      <w:r>
        <w:rPr>
          <w:rFonts w:eastAsia="Times New Roman"/>
        </w:rPr>
        <w:t>•  No hallucinated statistics were observed during development testing.</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behaviour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A.3: Portfolio Optimisation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A.4: Risk Management dashboard displaying VaR,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C5EB" w14:textId="77777777" w:rsidR="00F50B7C" w:rsidRDefault="00F50B7C">
      <w:pPr>
        <w:spacing w:after="0" w:line="240" w:lineRule="auto"/>
      </w:pPr>
      <w:r>
        <w:separator/>
      </w:r>
    </w:p>
  </w:endnote>
  <w:endnote w:type="continuationSeparator" w:id="0">
    <w:p w14:paraId="22F3BB25" w14:textId="77777777" w:rsidR="00F50B7C" w:rsidRDefault="00F50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9747" w14:textId="77777777" w:rsidR="00F50B7C" w:rsidRDefault="00F50B7C">
      <w:pPr>
        <w:spacing w:after="0" w:line="240" w:lineRule="auto"/>
      </w:pPr>
      <w:r>
        <w:separator/>
      </w:r>
    </w:p>
  </w:footnote>
  <w:footnote w:type="continuationSeparator" w:id="0">
    <w:p w14:paraId="19FC657A" w14:textId="77777777" w:rsidR="00F50B7C" w:rsidRDefault="00F50B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3C36C2"/>
    <w:rsid w:val="00403736"/>
    <w:rsid w:val="00470C61"/>
    <w:rsid w:val="00500345"/>
    <w:rsid w:val="00545301"/>
    <w:rsid w:val="005C53C5"/>
    <w:rsid w:val="005E4D19"/>
    <w:rsid w:val="00631B00"/>
    <w:rsid w:val="00797248"/>
    <w:rsid w:val="009B67E4"/>
    <w:rsid w:val="00A80EF4"/>
    <w:rsid w:val="00AE3D99"/>
    <w:rsid w:val="00AF6098"/>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50B7C"/>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2</cp:revision>
  <dcterms:created xsi:type="dcterms:W3CDTF">2026-02-25T10:07:00Z</dcterms:created>
  <dcterms:modified xsi:type="dcterms:W3CDTF">2026-02-25T10:07:00Z</dcterms:modified>
</cp:coreProperties>
</file>