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1F37B" w14:textId="6606F2FB" w:rsidR="00500345" w:rsidRDefault="00C56DBF">
      <w:r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C222F" id="_x0000_t202" coordsize="21600,21600" o:spt="202" path="m,l,21600r21600,l21600,xe">
                <v:stroke joinstyle="miter"/>
                <v:path gradientshapeok="t" o:connecttype="rect"/>
              </v:shapetype>
              <v:shape id="Text Box 4" o:spid="_x0000_s1026"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" filled="f" stroked="f" strokeweight=".5pt">
                <v:textbo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v:textbox>
                <w10:wrap anchorx="margin"/>
              </v:shape>
            </w:pict>
          </mc:Fallback>
        </mc:AlternateContent>
      </w:r>
      <w:r w:rsidRPr="00C56DBF">
        <w:rPr>
          <w:noProof/>
        </w:rPr>
        <mc:AlternateContent>
          <mc:Choice Requires="wps">
            <w:drawing>
              <wp:anchor distT="0" distB="0" distL="114300" distR="114300" simplePos="0" relativeHeight="251661312" behindDoc="0" locked="0" layoutInCell="1" allowOverlap="1" wp14:anchorId="42BED10F" wp14:editId="3B2309D9">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7"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" filled="f" stroked="f" strokeweight=".5pt">
                <v:textbo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w:t>
                      </w:r>
                    </w:p>
                  </w:txbxContent>
                </v:textbox>
                <w10:wrap anchorx="margin"/>
              </v:shape>
            </w:pict>
          </mc:Fallback>
        </mc:AlternateContent>
      </w:r>
      <w:r w:rsidRPr="00C56DBF">
        <w:rPr>
          <w:noProof/>
        </w:rPr>
        <mc:AlternateContent>
          <mc:Choice Requires="wps">
            <w:drawing>
              <wp:anchor distT="0" distB="0" distL="114300" distR="114300" simplePos="0" relativeHeight="251660288" behindDoc="0" locked="0" layoutInCell="1" allowOverlap="1" wp14:anchorId="1E30E5D5" wp14:editId="7F1A9DC2">
                <wp:simplePos x="0" y="0"/>
                <wp:positionH relativeFrom="margin">
                  <wp:posOffset>0</wp:posOffset>
                </wp:positionH>
                <wp:positionV relativeFrom="paragraph">
                  <wp:posOffset>3886200</wp:posOffset>
                </wp:positionV>
                <wp:extent cx="7543800" cy="13868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7543800" cy="1386840"/>
                        </a:xfrm>
                        <a:prstGeom prst="rect">
                          <a:avLst/>
                        </a:prstGeom>
                        <a:noFill/>
                        <a:ln w="6350">
                          <a:noFill/>
                        </a:ln>
                      </wps:spPr>
                      <wps:txb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0E5D5" id="Text Box 3" o:spid="_x0000_s1028" type="#_x0000_t202" style="position:absolute;margin-left:0;margin-top:306pt;width:594pt;height:109.2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" filled="f" stroked="f" strokeweight=".5pt">
                <v:textbo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v:textbox>
                <w10:wrap anchorx="margin"/>
              </v:shape>
            </w:pict>
          </mc:Fallback>
        </mc:AlternateContent>
      </w:r>
      <w:r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" filled="f" stroked="f" strokeweight=".5pt">
                <v:textbo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pPr>
        <w:sectPr>
          <w:pgSz w:w="11906" w:h="16838" w:code="9"/>
          <w:pgMar w:top="0" w:right="49" w:bottom="0" w:left="0" w:header="720" w:footer="720" w:gutter="0"/>
          <w:cols w:space="720"/>
          <w:docGrid w:linePitch="360"/>
        </w:sectPr>
      </w:pPr>
    </w:p>
    <w:p>
      <w:pPr>
        <w:spacing w:after="0"/>
        <w:jc w:val="center"/>
      </w:pPr>
      <w:r>
        <w:rPr>
          <w:rFonts w:ascii="Times New Roman" w:hAnsi="Times New Roman" w:eastAsia="Times New Roman"/>
          <w:b/>
          <w:i w:val="0"/>
          <w:sz w:val="28"/>
        </w:rPr>
        <w:t>VIETNAM NATIONAL UNIVERSITY HO CHI MINH CITY</w:t>
      </w:r>
    </w:p>
    <w:p>
      <w:pPr>
        <w:spacing w:after="0"/>
        <w:jc w:val="center"/>
      </w:pPr>
      <w:r>
        <w:rPr>
          <w:rFonts w:ascii="Times New Roman" w:hAnsi="Times New Roman" w:eastAsia="Times New Roman"/>
          <w:b/>
          <w:i w:val="0"/>
          <w:sz w:val="28"/>
        </w:rPr>
        <w:t>UNIVERSITY OF ECONOMICS AND LAW</w:t>
      </w:r>
    </w:p>
    <w:p>
      <w:pPr>
        <w:spacing w:after="120"/>
        <w:jc w:val="center"/>
      </w:pPr>
      <w:r>
        <w:rPr>
          <w:rFonts w:ascii="Times New Roman" w:hAnsi="Times New Roman" w:eastAsia="Times New Roman"/>
          <w:b/>
          <w:i w:val="0"/>
          <w:sz w:val="26"/>
        </w:rPr>
        <w:t>Faculty of Finance and Banking</w:t>
      </w:r>
    </w:p>
    <w:p>
      <w:pPr>
        <w:spacing w:before="120" w:after="120"/>
        <w:jc w:val="center"/>
      </w:pPr>
      <w:r>
        <w:rPr>
          <w:rFonts w:ascii="Times New Roman" w:hAnsi="Times New Roman" w:eastAsia="Times New Roman"/>
          <w:b w:val="0"/>
          <w:i w:val="0"/>
          <w:sz w:val="24"/>
        </w:rPr>
        <w:t>────────────────────</w:t>
      </w:r>
    </w:p>
    <w:p>
      <w:pPr>
        <w:spacing w:before="960" w:after="480"/>
        <w:jc w:val="center"/>
      </w:pPr>
      <w:r>
        <w:rPr>
          <w:rFonts w:ascii="Times New Roman" w:hAnsi="Times New Roman" w:eastAsia="Times New Roman"/>
          <w:b/>
          <w:i w:val="0"/>
          <w:sz w:val="36"/>
        </w:rPr>
        <w:t>GRADUATION THESIS</w:t>
      </w:r>
    </w:p>
    <w:p>
      <w:pPr>
        <w:spacing w:before="240" w:after="960"/>
        <w:jc w:val="center"/>
      </w:pPr>
      <w:r>
        <w:rPr>
          <w:rFonts w:ascii="Times New Roman" w:hAnsi="Times New Roman" w:eastAsia="Times New Roman"/>
          <w:b/>
          <w:i w:val="0"/>
          <w:sz w:val="32"/>
        </w:rPr>
        <w:t>QuantVN Strategy Forge: An Accessible Quantitative Analysis Platform for Trading Strategy Design and Backtesting on Vietnamese Equities (HOSE)</w:t>
      </w:r>
    </w:p>
    <w:p>
      <w:pPr>
        <w:spacing w:after="80"/>
        <w:ind w:left="2835"/>
      </w:pPr>
      <w:r>
        <w:rPr>
          <w:rFonts w:ascii="Times New Roman" w:hAnsi="Times New Roman" w:eastAsia="Times New Roman"/>
          <w:b w:val="0"/>
          <w:i w:val="0"/>
          <w:sz w:val="26"/>
        </w:rPr>
        <w:t>Supervisor</w:t>
      </w:r>
      <w:r>
        <w:rPr>
          <w:rFonts w:ascii="Times New Roman" w:hAnsi="Times New Roman" w:eastAsia="Times New Roman"/>
          <w:b w:val="0"/>
          <w:i w:val="0"/>
          <w:sz w:val="26"/>
        </w:rPr>
        <w:tab/>
        <w:t xml:space="preserve">: </w:t>
      </w:r>
      <w:r>
        <w:rPr>
          <w:rFonts w:ascii="Times New Roman" w:hAnsi="Times New Roman" w:eastAsia="Times New Roman"/>
          <w:b/>
          <w:i w:val="0"/>
          <w:sz w:val="26"/>
        </w:rPr>
        <w:t>Assoc. Prof. Dr. Nguyen Anh Phong</w:t>
      </w:r>
    </w:p>
    <w:p>
      <w:pPr>
        <w:spacing w:after="80"/>
        <w:ind w:left="2835"/>
      </w:pPr>
      <w:r>
        <w:rPr>
          <w:rFonts w:ascii="Times New Roman" w:hAnsi="Times New Roman" w:eastAsia="Times New Roman"/>
          <w:b w:val="0"/>
          <w:i w:val="0"/>
          <w:sz w:val="26"/>
        </w:rPr>
        <w:t>Student name</w:t>
      </w:r>
      <w:r>
        <w:rPr>
          <w:rFonts w:ascii="Times New Roman" w:hAnsi="Times New Roman" w:eastAsia="Times New Roman"/>
          <w:b w:val="0"/>
          <w:i w:val="0"/>
          <w:sz w:val="26"/>
        </w:rPr>
        <w:tab/>
        <w:t xml:space="preserve">: </w:t>
      </w:r>
      <w:r>
        <w:rPr>
          <w:rFonts w:ascii="Times New Roman" w:hAnsi="Times New Roman" w:eastAsia="Times New Roman"/>
          <w:b/>
          <w:i w:val="0"/>
          <w:sz w:val="26"/>
        </w:rPr>
        <w:t>Lieu Hoai Phuc</w:t>
      </w:r>
    </w:p>
    <w:p>
      <w:pPr>
        <w:spacing w:after="80"/>
        <w:ind w:left="2835"/>
      </w:pPr>
      <w:r>
        <w:rPr>
          <w:rFonts w:ascii="Times New Roman" w:hAnsi="Times New Roman" w:eastAsia="Times New Roman"/>
          <w:b w:val="0"/>
          <w:i w:val="0"/>
          <w:sz w:val="26"/>
        </w:rPr>
        <w:t>Student ID</w:t>
      </w:r>
      <w:r>
        <w:rPr>
          <w:rFonts w:ascii="Times New Roman" w:hAnsi="Times New Roman" w:eastAsia="Times New Roman"/>
          <w:b w:val="0"/>
          <w:i w:val="0"/>
          <w:sz w:val="26"/>
        </w:rPr>
        <w:tab/>
        <w:t xml:space="preserve">: </w:t>
      </w:r>
      <w:r>
        <w:rPr>
          <w:rFonts w:ascii="Times New Roman" w:hAnsi="Times New Roman" w:eastAsia="Times New Roman"/>
          <w:b/>
          <w:i w:val="0"/>
          <w:sz w:val="26"/>
        </w:rPr>
        <w:t>K224141735</w:t>
      </w:r>
    </w:p>
    <w:p>
      <w:pPr>
        <w:spacing w:after="80"/>
        <w:ind w:left="2835"/>
      </w:pPr>
      <w:r>
        <w:rPr>
          <w:rFonts w:ascii="Times New Roman" w:hAnsi="Times New Roman" w:eastAsia="Times New Roman"/>
          <w:b w:val="0"/>
          <w:i w:val="0"/>
          <w:sz w:val="26"/>
        </w:rPr>
        <w:t>Class</w:t>
      </w:r>
      <w:r>
        <w:rPr>
          <w:rFonts w:ascii="Times New Roman" w:hAnsi="Times New Roman" w:eastAsia="Times New Roman"/>
          <w:b w:val="0"/>
          <w:i w:val="0"/>
          <w:sz w:val="26"/>
        </w:rPr>
        <w:tab/>
        <w:t xml:space="preserve">: </w:t>
      </w:r>
      <w:r>
        <w:rPr>
          <w:rFonts w:ascii="Times New Roman" w:hAnsi="Times New Roman" w:eastAsia="Times New Roman"/>
          <w:b/>
          <w:i w:val="0"/>
          <w:sz w:val="26"/>
        </w:rPr>
        <w:t>K22414C</w:t>
      </w:r>
    </w:p>
    <w:p>
      <w:pPr>
        <w:spacing w:before="1440"/>
        <w:jc w:val="center"/>
      </w:pPr>
      <w:r>
        <w:rPr>
          <w:rFonts w:ascii="Times New Roman" w:hAnsi="Times New Roman" w:eastAsia="Times New Roman"/>
          <w:b/>
          <w:i w:val="0"/>
          <w:sz w:val="26"/>
        </w:rPr>
        <w:t>Ho Chi Minh City – 2026</w:t>
      </w:r>
    </w:p>
    <w:p>
      <w:r>
        <w:br w:type="page"/>
      </w:r>
    </w:p>
    <w:p>
      <w:pPr>
        <w:spacing w:before="360" w:after="120" w:line="360" w:lineRule="auto"/>
        <w:jc w:val="left"/>
      </w:pPr>
      <w:r>
        <w:rPr>
          <w:rFonts w:ascii="Times New Roman" w:hAnsi="Times New Roman" w:eastAsia="Times New Roman"/>
          <w:b/>
          <w:i w:val="0"/>
          <w:color w:val="000000"/>
          <w:sz w:val="32"/>
        </w:rPr>
        <w:t>DECLARATION</w:t>
      </w:r>
    </w:p>
    <w:p>
      <w:pPr>
        <w:spacing w:after="120" w:before="0" w:line="360" w:lineRule="auto"/>
        <w:ind w:firstLine="720"/>
        <w:jc w:val="both"/>
      </w:pPr>
      <w:r>
        <w:rPr>
          <w:rFonts w:ascii="Times New Roman" w:hAnsi="Times New Roman" w:eastAsia="Times New Roman"/>
          <w:b w:val="0"/>
          <w:i w:val="0"/>
          <w:sz w:val="26"/>
        </w:rPr>
        <w:t>I hereby declare that this graduation thesis is my own original work, conducted under the supervision of Assoc. Prof. Dr. Nguyen Anh Phong. The data, results, and findings presented in this thesis are truthful and have not been previously published in any other work.</w:t>
      </w:r>
    </w:p>
    <w:p>
      <w:pPr>
        <w:spacing w:after="120" w:before="0" w:line="360" w:lineRule="auto"/>
        <w:ind w:firstLine="720"/>
        <w:jc w:val="both"/>
      </w:pPr>
      <w:r>
        <w:rPr>
          <w:rFonts w:ascii="Times New Roman" w:hAnsi="Times New Roman" w:eastAsia="Times New Roman"/>
          <w:b w:val="0"/>
          <w:i w:val="0"/>
          <w:sz w:val="26"/>
        </w:rPr>
        <w:t>I take full responsibility for the accuracy and integrity of the content presented herein.</w:t>
      </w:r>
    </w:p>
    <w:p>
      <w:pPr>
        <w:spacing w:before="360"/>
        <w:jc w:val="left"/>
      </w:pPr>
      <w:r>
        <w:rPr>
          <w:rFonts w:ascii="Times New Roman" w:hAnsi="Times New Roman" w:eastAsia="Times New Roman"/>
          <w:b w:val="0"/>
          <w:i w:val="0"/>
          <w:sz w:val="26"/>
        </w:rPr>
        <w:t>Student: Lieu Hoai Phuc</w:t>
      </w:r>
    </w:p>
    <w:p>
      <w:pPr>
        <w:jc w:val="left"/>
      </w:pPr>
      <w:r>
        <w:rPr>
          <w:rFonts w:ascii="Times New Roman" w:hAnsi="Times New Roman" w:eastAsia="Times New Roman"/>
          <w:b w:val="0"/>
          <w:i w:val="0"/>
          <w:sz w:val="26"/>
        </w:rPr>
        <w:t>Student ID: K224141735    Class: K22414C</w:t>
      </w:r>
    </w:p>
    <w:p>
      <w:pPr>
        <w:spacing w:before="720"/>
        <w:jc w:val="right"/>
      </w:pPr>
      <w:r>
        <w:rPr>
          <w:rFonts w:ascii="Times New Roman" w:hAnsi="Times New Roman" w:eastAsia="Times New Roman"/>
          <w:b w:val="0"/>
          <w:i/>
          <w:sz w:val="26"/>
        </w:rPr>
        <w:t>Ho Chi Minh City, .... / .... / 2026</w:t>
      </w:r>
    </w:p>
    <w:p>
      <w:pPr>
        <w:spacing w:before="240"/>
        <w:jc w:val="right"/>
      </w:pPr>
      <w:r>
        <w:rPr>
          <w:rFonts w:ascii="Times New Roman" w:hAnsi="Times New Roman" w:eastAsia="Times New Roman"/>
          <w:b/>
          <w:i w:val="0"/>
          <w:sz w:val="26"/>
        </w:rPr>
        <w:t>Student</w:t>
      </w:r>
    </w:p>
    <w:p>
      <w:pPr>
        <w:spacing w:before="720"/>
        <w:jc w:val="right"/>
      </w:pPr>
      <w:r>
        <w:rPr>
          <w:rFonts w:ascii="Times New Roman" w:hAnsi="Times New Roman" w:eastAsia="Times New Roman"/>
          <w:b w:val="0"/>
          <w:i w:val="0"/>
          <w:sz w:val="26"/>
        </w:rPr>
        <w:t>Lieu Hoai Phuc</w:t>
      </w:r>
    </w:p>
    <w:p>
      <w:r>
        <w:br w:type="page"/>
      </w:r>
    </w:p>
    <w:p>
      <w:pPr>
        <w:spacing w:before="360" w:after="120" w:line="360" w:lineRule="auto"/>
        <w:jc w:val="left"/>
      </w:pPr>
      <w:r>
        <w:rPr>
          <w:rFonts w:ascii="Times New Roman" w:hAnsi="Times New Roman" w:eastAsia="Times New Roman"/>
          <w:b/>
          <w:i w:val="0"/>
          <w:color w:val="000000"/>
          <w:sz w:val="32"/>
        </w:rPr>
        <w:t>INSTRUCTOR'S ASSESSMENT</w:t>
      </w:r>
    </w:p>
    <w:p>
      <w:pPr>
        <w:spacing w:before="120"/>
      </w:pPr>
      <w:r>
        <w:rPr>
          <w:rFonts w:ascii="Times New Roman" w:hAnsi="Times New Roman" w:eastAsia="Times New Roman"/>
          <w:b/>
          <w:i w:val="0"/>
          <w:sz w:val="26"/>
        </w:rPr>
        <w:t>Instructor: Assoc. Prof. Dr. Nguyen Anh Phong</w:t>
      </w:r>
    </w:p>
    <w:p>
      <w:pPr>
        <w:spacing w:before="240"/>
      </w:pPr>
      <w:r>
        <w:rPr>
          <w:rFonts w:ascii="Times New Roman" w:hAnsi="Times New Roman" w:eastAsia="Times New Roman"/>
          <w:b/>
          <w:i w:val="0"/>
          <w:sz w:val="26"/>
        </w:rPr>
        <w:t>1. Common contents</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before="240"/>
      </w:pPr>
      <w:r>
        <w:rPr>
          <w:rFonts w:ascii="Times New Roman" w:hAnsi="Times New Roman" w:eastAsia="Times New Roman"/>
          <w:b/>
          <w:i w:val="0"/>
          <w:sz w:val="26"/>
        </w:rPr>
        <w:t xml:space="preserve">2. Grade: </w:t>
      </w:r>
      <w:r>
        <w:rPr>
          <w:rFonts w:ascii="Times New Roman" w:hAnsi="Times New Roman" w:eastAsia="Times New Roman"/>
          <w:b w:val="0"/>
          <w:i w:val="0"/>
          <w:sz w:val="26"/>
        </w:rPr>
        <w:t>........................</w:t>
      </w:r>
    </w:p>
    <w:p>
      <w:pPr>
        <w:spacing w:before="480"/>
        <w:jc w:val="right"/>
      </w:pPr>
      <w:r>
        <w:rPr>
          <w:rFonts w:ascii="Times New Roman" w:hAnsi="Times New Roman" w:eastAsia="Times New Roman"/>
          <w:b w:val="0"/>
          <w:i/>
          <w:sz w:val="26"/>
        </w:rPr>
        <w:t>Ho Chi Minh City, .... / .... / 2026</w:t>
      </w:r>
    </w:p>
    <w:p>
      <w:pPr>
        <w:spacing w:before="240"/>
        <w:jc w:val="right"/>
      </w:pPr>
      <w:r>
        <w:rPr>
          <w:rFonts w:ascii="Times New Roman" w:hAnsi="Times New Roman" w:eastAsia="Times New Roman"/>
          <w:b/>
          <w:i w:val="0"/>
          <w:sz w:val="26"/>
        </w:rPr>
        <w:t>Instructor</w:t>
      </w:r>
    </w:p>
    <w:p>
      <w:pPr>
        <w:spacing w:before="720"/>
        <w:jc w:val="right"/>
      </w:pPr>
      <w:r>
        <w:rPr>
          <w:rFonts w:ascii="Times New Roman" w:hAnsi="Times New Roman" w:eastAsia="Times New Roman"/>
          <w:b w:val="0"/>
          <w:i w:val="0"/>
          <w:sz w:val="26"/>
        </w:rPr>
        <w:t>Assoc. Prof. Dr. Nguyen Anh Phong</w:t>
      </w:r>
    </w:p>
    <w:p>
      <w:r>
        <w:br w:type="page"/>
      </w:r>
    </w:p>
    <w:p>
      <w:pPr>
        <w:spacing w:before="360" w:after="120" w:line="360" w:lineRule="auto"/>
        <w:jc w:val="left"/>
      </w:pPr>
      <w:r>
        <w:rPr>
          <w:rFonts w:ascii="Times New Roman" w:hAnsi="Times New Roman" w:eastAsia="Times New Roman"/>
          <w:b/>
          <w:i w:val="0"/>
          <w:color w:val="000000"/>
          <w:sz w:val="32"/>
        </w:rPr>
        <w:t>REVIEWER'S ASSESSMENT</w:t>
      </w:r>
    </w:p>
    <w:p>
      <w:pPr>
        <w:spacing w:before="120"/>
      </w:pPr>
      <w:r>
        <w:rPr>
          <w:rFonts w:ascii="Times New Roman" w:hAnsi="Times New Roman" w:eastAsia="Times New Roman"/>
          <w:b/>
          <w:i w:val="0"/>
          <w:sz w:val="26"/>
        </w:rPr>
        <w:t>Reviewer: ........................................................</w:t>
      </w:r>
    </w:p>
    <w:p>
      <w:pPr>
        <w:spacing w:before="240"/>
      </w:pPr>
      <w:r>
        <w:rPr>
          <w:rFonts w:ascii="Times New Roman" w:hAnsi="Times New Roman" w:eastAsia="Times New Roman"/>
          <w:b/>
          <w:i w:val="0"/>
          <w:sz w:val="26"/>
        </w:rPr>
        <w:t>1. Common contents</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after="40" w:before="0" w:line="360" w:lineRule="auto"/>
        <w:ind w:left="0"/>
        <w:jc w:val="left"/>
      </w:pPr>
      <w:r>
        <w:rPr>
          <w:rFonts w:ascii="Times New Roman" w:hAnsi="Times New Roman" w:eastAsia="Times New Roman"/>
          <w:b w:val="0"/>
          <w:i w:val="0"/>
          <w:sz w:val="26"/>
        </w:rPr>
        <w:t>........................................................................................................................</w:t>
      </w:r>
    </w:p>
    <w:p>
      <w:pPr>
        <w:spacing w:before="240"/>
      </w:pPr>
      <w:r>
        <w:rPr>
          <w:rFonts w:ascii="Times New Roman" w:hAnsi="Times New Roman" w:eastAsia="Times New Roman"/>
          <w:b/>
          <w:i w:val="0"/>
          <w:sz w:val="26"/>
        </w:rPr>
        <w:t xml:space="preserve">2. Grade: </w:t>
      </w:r>
      <w:r>
        <w:rPr>
          <w:rFonts w:ascii="Times New Roman" w:hAnsi="Times New Roman" w:eastAsia="Times New Roman"/>
          <w:b w:val="0"/>
          <w:i w:val="0"/>
          <w:sz w:val="26"/>
        </w:rPr>
        <w:t>........................</w:t>
      </w:r>
    </w:p>
    <w:p>
      <w:pPr>
        <w:spacing w:before="480"/>
        <w:jc w:val="right"/>
      </w:pPr>
      <w:r>
        <w:rPr>
          <w:rFonts w:ascii="Times New Roman" w:hAnsi="Times New Roman" w:eastAsia="Times New Roman"/>
          <w:b w:val="0"/>
          <w:i/>
          <w:sz w:val="26"/>
        </w:rPr>
        <w:t>Ho Chi Minh City, .... / .... / 2026</w:t>
      </w:r>
    </w:p>
    <w:p>
      <w:pPr>
        <w:spacing w:before="240"/>
        <w:jc w:val="right"/>
      </w:pPr>
      <w:r>
        <w:rPr>
          <w:rFonts w:ascii="Times New Roman" w:hAnsi="Times New Roman" w:eastAsia="Times New Roman"/>
          <w:b/>
          <w:i w:val="0"/>
          <w:sz w:val="26"/>
        </w:rPr>
        <w:t>Reviewer</w:t>
      </w:r>
    </w:p>
    <w:p>
      <w:pPr>
        <w:spacing w:before="720"/>
        <w:jc w:val="right"/>
      </w:pPr>
      <w:r>
        <w:rPr>
          <w:rFonts w:ascii="Times New Roman" w:hAnsi="Times New Roman" w:eastAsia="Times New Roman"/>
          <w:b w:val="0"/>
          <w:i w:val="0"/>
          <w:sz w:val="26"/>
        </w:rPr>
        <w:t>........................................................</w:t>
      </w:r>
    </w:p>
    <w:p>
      <w:r>
        <w:br w:type="page"/>
      </w:r>
    </w:p>
    <w:p>
      <w:pPr>
        <w:spacing w:before="360" w:after="120" w:line="360" w:lineRule="auto"/>
        <w:jc w:val="left"/>
      </w:pPr>
      <w:r>
        <w:rPr>
          <w:rFonts w:ascii="Times New Roman" w:hAnsi="Times New Roman" w:eastAsia="Times New Roman"/>
          <w:b/>
          <w:i w:val="0"/>
          <w:color w:val="000000"/>
          <w:sz w:val="32"/>
        </w:rPr>
        <w:t>ACKNOWLEDGEMENTS</w:t>
      </w:r>
    </w:p>
    <w:p>
      <w:pPr>
        <w:spacing w:after="120" w:before="0" w:line="360" w:lineRule="auto"/>
        <w:ind w:firstLine="720"/>
        <w:jc w:val="both"/>
      </w:pPr>
      <w:r>
        <w:rPr>
          <w:rFonts w:ascii="Times New Roman" w:hAnsi="Times New Roman" w:eastAsia="Times New Roman"/>
          <w:b w:val="0"/>
          <w:i w:val="0"/>
          <w:sz w:val="26"/>
        </w:rPr>
        <w:t>I would like to express my sincere gratitude to my supervisor, Assoc. Prof. Dr. Nguyen Anh Phong, for his invaluable guidance, insightful feedback, and continuous support throughout my graduation thesis.</w:t>
      </w:r>
    </w:p>
    <w:p>
      <w:pPr>
        <w:spacing w:after="120" w:before="0" w:line="360" w:lineRule="auto"/>
        <w:ind w:firstLine="720"/>
        <w:jc w:val="both"/>
      </w:pPr>
      <w:r>
        <w:rPr>
          <w:rFonts w:ascii="Times New Roman" w:hAnsi="Times New Roman" w:eastAsia="Times New Roman"/>
          <w:b w:val="0"/>
          <w:i w:val="0"/>
          <w:sz w:val="26"/>
        </w:rPr>
        <w:t>I also extend my thanks to the faculty members of the School of Finance and Banking, University of Economics and Law (UEL), Vietnam National University Ho Chi Minh City, for equipping me with the foundational knowledge in finance and banking that enabled this research.</w:t>
      </w:r>
    </w:p>
    <w:p>
      <w:pPr>
        <w:spacing w:after="120" w:before="0" w:line="360" w:lineRule="auto"/>
        <w:ind w:firstLine="720"/>
        <w:jc w:val="both"/>
      </w:pPr>
      <w:r>
        <w:rPr>
          <w:rFonts w:ascii="Times New Roman" w:hAnsi="Times New Roman" w:eastAsia="Times New Roman"/>
          <w:b w:val="0"/>
          <w:i w:val="0"/>
          <w:sz w:val="26"/>
        </w:rPr>
        <w:t>I am grateful to my peers for their constructive feedback, which improved both the platform design and the quality of this thesis.</w:t>
      </w:r>
    </w:p>
    <w:p>
      <w:pPr>
        <w:spacing w:after="120" w:before="0" w:line="360" w:lineRule="auto"/>
        <w:ind w:firstLine="720"/>
        <w:jc w:val="both"/>
      </w:pPr>
      <w:r>
        <w:rPr>
          <w:rFonts w:ascii="Times New Roman" w:hAnsi="Times New Roman" w:eastAsia="Times New Roman"/>
          <w:b w:val="0"/>
          <w:i w:val="0"/>
          <w:sz w:val="26"/>
        </w:rPr>
        <w:t>Finally, I would like to thank my family for their unwavering encouragement and support throughout this journey.</w:t>
      </w:r>
    </w:p>
    <w:p>
      <w:pPr>
        <w:spacing w:after="120" w:before="0" w:line="360" w:lineRule="auto"/>
        <w:ind w:firstLine="720"/>
        <w:jc w:val="both"/>
      </w:pPr>
      <w:r>
        <w:rPr>
          <w:rFonts w:ascii="Times New Roman" w:hAnsi="Times New Roman" w:eastAsia="Times New Roman"/>
          <w:b w:val="0"/>
          <w:i w:val="0"/>
          <w:sz w:val="26"/>
        </w:rPr>
        <w:t>Any remaining limitations in this thesis are solely my own responsibility.</w:t>
      </w:r>
    </w:p>
    <w:p>
      <w:r>
        <w:br w:type="page"/>
      </w:r>
    </w:p>
    <w:p>
      <w:pPr>
        <w:spacing w:before="360" w:after="120" w:line="360" w:lineRule="auto"/>
        <w:jc w:val="left"/>
      </w:pPr>
      <w:r>
        <w:rPr>
          <w:rFonts w:ascii="Times New Roman" w:hAnsi="Times New Roman" w:eastAsia="Times New Roman"/>
          <w:b/>
          <w:i w:val="0"/>
          <w:color w:val="000000"/>
          <w:sz w:val="32"/>
        </w:rPr>
        <w:t>ABSTRACT</w:t>
      </w:r>
    </w:p>
    <w:p>
      <w:pPr>
        <w:spacing w:after="120" w:before="0" w:line="360" w:lineRule="auto"/>
        <w:ind w:firstLine="720"/>
        <w:jc w:val="both"/>
      </w:pPr>
      <w:r>
        <w:rPr>
          <w:rFonts w:ascii="Times New Roman" w:hAnsi="Times New Roman" w:eastAsia="Times New Roman"/>
          <w:b w:val="0"/>
          <w:i w:val="0"/>
          <w:sz w:val="26"/>
        </w:rPr>
        <w:t>This thesis designs, implements, and evaluates QuantVN Strategy Forge, a web-based quantitative analysis platform for Vietnamese equities listed on the Ho Chi Minh Stock Exchange (HOSE). The platform addresses the gap in accessible quantitative tools for Vietnamese retail investors by integrating stock screening, strategy backtesting with five strategy types, portfolio optimisation using four methods (Mean-Variance, Risk Parity, Minimum Variance, Maximum Sharpe), risk management metrics (VaR, CVaR, drawdown), factor analysis, and an AI assistant grounded in the platform's own computations. The system covers approximately 500 HOSE-listed stocks with daily data from 2018 to 2025. The AI assistant employs retrieval-augmented generation with policy-gated abstention to prevent unsupported financial claims. Results demonstrate the platform successfully provides integrated quantitative analysis capabilities comparable to international tools while supporting Vietnamese market conventions including transaction costs, daily price limits, and settlement cycles.</w:t>
      </w:r>
    </w:p>
    <w:p>
      <w:pPr>
        <w:spacing w:after="120" w:before="0" w:line="360" w:lineRule="auto"/>
        <w:ind w:firstLine="720"/>
        <w:jc w:val="both"/>
      </w:pPr>
      <w:r>
        <w:rPr>
          <w:rFonts w:ascii="Times New Roman" w:hAnsi="Times New Roman" w:eastAsia="Times New Roman"/>
          <w:b/>
          <w:i w:val="0"/>
          <w:sz w:val="26"/>
        </w:rPr>
        <w:t xml:space="preserve">Keywords: </w:t>
      </w:r>
      <w:r>
        <w:rPr>
          <w:rFonts w:ascii="Times New Roman" w:hAnsi="Times New Roman" w:eastAsia="Times New Roman"/>
          <w:b w:val="0"/>
          <w:i/>
          <w:sz w:val="26"/>
        </w:rPr>
        <w:t>quantitative analysis, HOSE, backtesting, portfolio optimisation, AI assistant, Vietnamese equities, fintech</w:t>
      </w:r>
    </w:p>
    <w:p>
      <w:r>
        <w:br w:type="page"/>
      </w:r>
    </w:p>
    <w:p>
      <w:pPr>
        <w:spacing w:before="360" w:after="120" w:line="360" w:lineRule="auto"/>
        <w:jc w:val="left"/>
      </w:pPr>
      <w:r>
        <w:rPr>
          <w:rFonts w:ascii="Times New Roman" w:hAnsi="Times New Roman" w:eastAsia="Times New Roman"/>
          <w:b/>
          <w:i w:val="0"/>
          <w:color w:val="000000"/>
          <w:sz w:val="32"/>
        </w:rPr>
        <w:t>TABLE OF CONTENTS</w:t>
      </w:r>
    </w:p>
    <w:p>
      <w:pPr>
        <w:spacing w:after="120" w:before="0" w:line="360" w:lineRule="auto"/>
        <w:ind w:firstLine="720"/>
        <w:jc w:val="both"/>
      </w:pPr>
      <w:r>
        <w:rPr>
          <w:rFonts w:ascii="Times New Roman" w:hAnsi="Times New Roman" w:eastAsia="Times New Roman"/>
          <w:b w:val="0"/>
          <w:i/>
          <w:sz w:val="26"/>
        </w:rPr>
        <w:t>[Table of Contents to be generated in Word: References &gt; Table of Contents]</w:t>
      </w:r>
    </w:p>
    <w:p>
      <w:r>
        <w:br w:type="page"/>
      </w:r>
    </w:p>
    <w:p>
      <w:pPr>
        <w:spacing w:before="360" w:after="120" w:line="360" w:lineRule="auto"/>
        <w:jc w:val="left"/>
      </w:pPr>
      <w:r>
        <w:rPr>
          <w:rFonts w:ascii="Times New Roman" w:hAnsi="Times New Roman" w:eastAsia="Times New Roman"/>
          <w:b/>
          <w:i w:val="0"/>
          <w:color w:val="000000"/>
          <w:sz w:val="32"/>
        </w:rPr>
        <w:t>LIST OF FIGURES</w:t>
      </w:r>
    </w:p>
    <w:p>
      <w:pPr>
        <w:spacing w:after="80" w:before="0" w:line="360" w:lineRule="auto"/>
        <w:jc w:val="left"/>
      </w:pPr>
      <w:r>
        <w:rPr>
          <w:rFonts w:ascii="Times New Roman" w:hAnsi="Times New Roman" w:eastAsia="Times New Roman"/>
          <w:b/>
          <w:i w:val="0"/>
          <w:sz w:val="24"/>
        </w:rPr>
        <w:t xml:space="preserve">Figure 4.1: </w:t>
      </w:r>
      <w:r>
        <w:rPr>
          <w:rFonts w:ascii="Times New Roman" w:hAnsi="Times New Roman" w:eastAsia="Times New Roman"/>
          <w:b w:val="0"/>
          <w:i w:val="0"/>
          <w:sz w:val="24"/>
        </w:rPr>
        <w:t>QuantVN Strategy Forge landing page showing platform coverage</w:t>
      </w:r>
    </w:p>
    <w:p>
      <w:pPr>
        <w:spacing w:after="80" w:before="0" w:line="360" w:lineRule="auto"/>
        <w:jc w:val="left"/>
      </w:pPr>
      <w:r>
        <w:rPr>
          <w:rFonts w:ascii="Times New Roman" w:hAnsi="Times New Roman" w:eastAsia="Times New Roman"/>
          <w:b/>
          <w:i w:val="0"/>
          <w:sz w:val="24"/>
        </w:rPr>
        <w:t xml:space="preserve">Figure 4.2: </w:t>
      </w:r>
      <w:r>
        <w:rPr>
          <w:rFonts w:ascii="Times New Roman" w:hAnsi="Times New Roman" w:eastAsia="Times New Roman"/>
          <w:b w:val="0"/>
          <w:i w:val="0"/>
          <w:sz w:val="24"/>
        </w:rPr>
        <w:t>Systematic analytical workflow on the QuantVN platform</w:t>
      </w:r>
    </w:p>
    <w:p>
      <w:pPr>
        <w:spacing w:after="80" w:before="0" w:line="360" w:lineRule="auto"/>
        <w:jc w:val="left"/>
      </w:pPr>
      <w:r>
        <w:rPr>
          <w:rFonts w:ascii="Times New Roman" w:hAnsi="Times New Roman" w:eastAsia="Times New Roman"/>
          <w:b/>
          <w:i w:val="0"/>
          <w:sz w:val="24"/>
        </w:rPr>
        <w:t xml:space="preserve">Figure 4.3: </w:t>
      </w:r>
      <w:r>
        <w:rPr>
          <w:rFonts w:ascii="Times New Roman" w:hAnsi="Times New Roman" w:eastAsia="Times New Roman"/>
          <w:b w:val="0"/>
          <w:i w:val="0"/>
          <w:sz w:val="24"/>
        </w:rPr>
        <w:t>Backtesting process flow integrating data quality validation and Vietnamese market cost parameters</w:t>
      </w:r>
    </w:p>
    <w:p>
      <w:pPr>
        <w:spacing w:after="80" w:before="0" w:line="360" w:lineRule="auto"/>
        <w:jc w:val="left"/>
      </w:pPr>
      <w:r>
        <w:rPr>
          <w:rFonts w:ascii="Times New Roman" w:hAnsi="Times New Roman" w:eastAsia="Times New Roman"/>
          <w:b/>
          <w:i w:val="0"/>
          <w:sz w:val="24"/>
        </w:rPr>
        <w:t xml:space="preserve">Figure 4.4: </w:t>
      </w:r>
      <w:r>
        <w:rPr>
          <w:rFonts w:ascii="Times New Roman" w:hAnsi="Times New Roman" w:eastAsia="Times New Roman"/>
          <w:b w:val="0"/>
          <w:i w:val="0"/>
          <w:sz w:val="24"/>
        </w:rPr>
        <w:t>Visual Strategy Builder showing a drag-and-drop RSI Reversal strategy</w:t>
      </w:r>
    </w:p>
    <w:p>
      <w:pPr>
        <w:spacing w:after="80" w:before="0" w:line="360" w:lineRule="auto"/>
        <w:jc w:val="left"/>
      </w:pPr>
      <w:r>
        <w:rPr>
          <w:rFonts w:ascii="Times New Roman" w:hAnsi="Times New Roman" w:eastAsia="Times New Roman"/>
          <w:b/>
          <w:i w:val="0"/>
          <w:sz w:val="24"/>
        </w:rPr>
        <w:t xml:space="preserve">Figure A.1: </w:t>
      </w:r>
      <w:r>
        <w:rPr>
          <w:rFonts w:ascii="Times New Roman" w:hAnsi="Times New Roman" w:eastAsia="Times New Roman"/>
          <w:b w:val="0"/>
          <w:i w:val="0"/>
          <w:sz w:val="24"/>
        </w:rPr>
        <w:t>Stock Screener interface with multi-criteria filtering across 412 HOSE-listed symbols</w:t>
      </w:r>
    </w:p>
    <w:p>
      <w:pPr>
        <w:spacing w:after="80" w:before="0" w:line="360" w:lineRule="auto"/>
        <w:jc w:val="left"/>
      </w:pPr>
      <w:r>
        <w:rPr>
          <w:rFonts w:ascii="Times New Roman" w:hAnsi="Times New Roman" w:eastAsia="Times New Roman"/>
          <w:b/>
          <w:i w:val="0"/>
          <w:sz w:val="24"/>
        </w:rPr>
        <w:t xml:space="preserve">Figure A.2: </w:t>
      </w:r>
      <w:r>
        <w:rPr>
          <w:rFonts w:ascii="Times New Roman" w:hAnsi="Times New Roman" w:eastAsia="Times New Roman"/>
          <w:b w:val="0"/>
          <w:i w:val="0"/>
          <w:sz w:val="24"/>
        </w:rPr>
        <w:t>Interactive Charts module showing stock analysis with price data, returns, volatility, and comparison workspace</w:t>
      </w:r>
    </w:p>
    <w:p>
      <w:pPr>
        <w:spacing w:after="80" w:before="0" w:line="360" w:lineRule="auto"/>
        <w:jc w:val="left"/>
      </w:pPr>
      <w:r>
        <w:rPr>
          <w:rFonts w:ascii="Times New Roman" w:hAnsi="Times New Roman" w:eastAsia="Times New Roman"/>
          <w:b/>
          <w:i w:val="0"/>
          <w:sz w:val="24"/>
        </w:rPr>
        <w:t xml:space="preserve">Figure A.3: </w:t>
      </w:r>
      <w:r>
        <w:rPr>
          <w:rFonts w:ascii="Times New Roman" w:hAnsi="Times New Roman" w:eastAsia="Times New Roman"/>
          <w:b w:val="0"/>
          <w:i w:val="0"/>
          <w:sz w:val="24"/>
        </w:rPr>
        <w:t>Portfolio Optimisation module with asset universe selection and Mean-Variance solver configuration</w:t>
      </w:r>
    </w:p>
    <w:p>
      <w:pPr>
        <w:spacing w:after="80" w:before="0" w:line="360" w:lineRule="auto"/>
        <w:jc w:val="left"/>
      </w:pPr>
      <w:r>
        <w:rPr>
          <w:rFonts w:ascii="Times New Roman" w:hAnsi="Times New Roman" w:eastAsia="Times New Roman"/>
          <w:b/>
          <w:i w:val="0"/>
          <w:sz w:val="24"/>
        </w:rPr>
        <w:t xml:space="preserve">Figure A.4: </w:t>
      </w:r>
      <w:r>
        <w:rPr>
          <w:rFonts w:ascii="Times New Roman" w:hAnsi="Times New Roman" w:eastAsia="Times New Roman"/>
          <w:b w:val="0"/>
          <w:i w:val="0"/>
          <w:sz w:val="24"/>
        </w:rPr>
        <w:t>Risk Management dashboard displaying VaR, Volatility, Beta, Maximum Drawdown, Sortino Ratio, drawdown history, and rolling volatility charts</w:t>
      </w:r>
    </w:p>
    <w:p>
      <w:r>
        <w:br w:type="page"/>
      </w:r>
    </w:p>
    <w:p>
      <w:pPr>
        <w:spacing w:before="360" w:after="120" w:line="360" w:lineRule="auto"/>
        <w:jc w:val="left"/>
      </w:pPr>
      <w:r>
        <w:rPr>
          <w:rFonts w:ascii="Times New Roman" w:hAnsi="Times New Roman" w:eastAsia="Times New Roman"/>
          <w:b/>
          <w:i w:val="0"/>
          <w:color w:val="000000"/>
          <w:sz w:val="32"/>
        </w:rPr>
        <w:t>LIST OF TABLES</w:t>
      </w:r>
    </w:p>
    <w:p>
      <w:pPr>
        <w:spacing w:after="80" w:before="0" w:line="360" w:lineRule="auto"/>
        <w:jc w:val="left"/>
      </w:pPr>
      <w:r>
        <w:rPr>
          <w:rFonts w:ascii="Times New Roman" w:hAnsi="Times New Roman" w:eastAsia="Times New Roman"/>
          <w:b/>
          <w:i w:val="0"/>
          <w:sz w:val="24"/>
        </w:rPr>
        <w:t xml:space="preserve">Table 2.1: </w:t>
      </w:r>
      <w:r>
        <w:rPr>
          <w:rFonts w:ascii="Times New Roman" w:hAnsi="Times New Roman" w:eastAsia="Times New Roman"/>
          <w:b w:val="0"/>
          <w:i w:val="0"/>
          <w:sz w:val="24"/>
        </w:rPr>
        <w:t>Feature comparison of platforms available to Vietnamese investors</w:t>
      </w:r>
    </w:p>
    <w:p>
      <w:pPr>
        <w:spacing w:after="80" w:before="0" w:line="360" w:lineRule="auto"/>
        <w:jc w:val="left"/>
      </w:pPr>
      <w:r>
        <w:rPr>
          <w:rFonts w:ascii="Times New Roman" w:hAnsi="Times New Roman" w:eastAsia="Times New Roman"/>
          <w:b/>
          <w:i w:val="0"/>
          <w:sz w:val="24"/>
        </w:rPr>
        <w:t xml:space="preserve">Table 3.1: </w:t>
      </w:r>
      <w:r>
        <w:rPr>
          <w:rFonts w:ascii="Times New Roman" w:hAnsi="Times New Roman" w:eastAsia="Times New Roman"/>
          <w:b w:val="0"/>
          <w:i w:val="0"/>
          <w:sz w:val="24"/>
        </w:rPr>
        <w:t>Research questions, hypotheses, and evaluation methods</w:t>
      </w:r>
    </w:p>
    <w:p>
      <w:pPr>
        <w:spacing w:after="80" w:before="0" w:line="360" w:lineRule="auto"/>
        <w:jc w:val="left"/>
      </w:pPr>
      <w:r>
        <w:rPr>
          <w:rFonts w:ascii="Times New Roman" w:hAnsi="Times New Roman" w:eastAsia="Times New Roman"/>
          <w:b/>
          <w:i w:val="0"/>
          <w:sz w:val="24"/>
        </w:rPr>
        <w:t xml:space="preserve">Table 3.2: </w:t>
      </w:r>
      <w:r>
        <w:rPr>
          <w:rFonts w:ascii="Times New Roman" w:hAnsi="Times New Roman" w:eastAsia="Times New Roman"/>
          <w:b w:val="0"/>
          <w:i w:val="0"/>
          <w:sz w:val="24"/>
        </w:rPr>
        <w:t>Dataset description</w:t>
      </w:r>
    </w:p>
    <w:p>
      <w:pPr>
        <w:spacing w:after="80" w:before="0" w:line="360" w:lineRule="auto"/>
        <w:jc w:val="left"/>
      </w:pPr>
      <w:r>
        <w:rPr>
          <w:rFonts w:ascii="Times New Roman" w:hAnsi="Times New Roman" w:eastAsia="Times New Roman"/>
          <w:b/>
          <w:i w:val="0"/>
          <w:sz w:val="24"/>
        </w:rPr>
        <w:t xml:space="preserve">Table 3.3: </w:t>
      </w:r>
      <w:r>
        <w:rPr>
          <w:rFonts w:ascii="Times New Roman" w:hAnsi="Times New Roman" w:eastAsia="Times New Roman"/>
          <w:b w:val="0"/>
          <w:i w:val="0"/>
          <w:sz w:val="24"/>
        </w:rPr>
        <w:t>Descriptive statistics of the OHLCV dataset (HOSE, 2018–2025)</w:t>
      </w:r>
    </w:p>
    <w:p>
      <w:pPr>
        <w:spacing w:after="80" w:before="0" w:line="360" w:lineRule="auto"/>
        <w:jc w:val="left"/>
      </w:pPr>
      <w:r>
        <w:rPr>
          <w:rFonts w:ascii="Times New Roman" w:hAnsi="Times New Roman" w:eastAsia="Times New Roman"/>
          <w:b/>
          <w:i w:val="0"/>
          <w:sz w:val="24"/>
        </w:rPr>
        <w:t xml:space="preserve">Table 4.1: </w:t>
      </w:r>
      <w:r>
        <w:rPr>
          <w:rFonts w:ascii="Times New Roman" w:hAnsi="Times New Roman" w:eastAsia="Times New Roman"/>
          <w:b w:val="0"/>
          <w:i w:val="0"/>
          <w:sz w:val="24"/>
        </w:rPr>
        <w:t>Key risk metrics provided by the platform</w:t>
      </w:r>
    </w:p>
    <w:p>
      <w:pPr>
        <w:spacing w:after="80" w:before="0" w:line="360" w:lineRule="auto"/>
        <w:jc w:val="left"/>
      </w:pPr>
      <w:r>
        <w:rPr>
          <w:rFonts w:ascii="Times New Roman" w:hAnsi="Times New Roman" w:eastAsia="Times New Roman"/>
          <w:b/>
          <w:i w:val="0"/>
          <w:sz w:val="24"/>
        </w:rPr>
        <w:t xml:space="preserve">Table A.1: </w:t>
      </w:r>
      <w:r>
        <w:rPr>
          <w:rFonts w:ascii="Times New Roman" w:hAnsi="Times New Roman" w:eastAsia="Times New Roman"/>
          <w:b w:val="0"/>
          <w:i w:val="0"/>
          <w:sz w:val="24"/>
        </w:rPr>
        <w:t>Research hypothesis evaluation summary</w:t>
      </w:r>
    </w:p>
    <w:p>
      <w:r>
        <w:br w:type="page"/>
      </w:r>
    </w:p>
    <w:p>
      <w:pPr>
        <w:spacing w:before="360" w:after="120" w:line="360" w:lineRule="auto"/>
        <w:jc w:val="left"/>
      </w:pPr>
      <w:r>
        <w:rPr>
          <w:rFonts w:ascii="Times New Roman" w:hAnsi="Times New Roman" w:eastAsia="Times New Roman"/>
          <w:b/>
          <w:i w:val="0"/>
          <w:color w:val="000000"/>
          <w:sz w:val="32"/>
        </w:rPr>
        <w:t>LIST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c>
          <w:tcPr>
            <w:tcW w:type="dxa" w:w="2268"/>
            <w:shd w:fill="D9E2F3"/>
          </w:tcPr>
          <w:p>
            <w:pPr>
              <w:jc w:val="center"/>
            </w:pPr>
            <w:r/>
            <w:r>
              <w:rPr>
                <w:rFonts w:ascii="Times New Roman" w:hAnsi="Times New Roman" w:eastAsia="Times New Roman"/>
                <w:b/>
                <w:i w:val="0"/>
                <w:sz w:val="24"/>
              </w:rPr>
              <w:t>Abbreviation</w:t>
            </w:r>
          </w:p>
        </w:tc>
        <w:tc>
          <w:tcPr>
            <w:tcW w:type="dxa" w:w="6803"/>
            <w:shd w:fill="D9E2F3"/>
          </w:tcPr>
          <w:p>
            <w:pPr>
              <w:jc w:val="center"/>
            </w:pPr>
            <w:r/>
            <w:r>
              <w:rPr>
                <w:rFonts w:ascii="Times New Roman" w:hAnsi="Times New Roman" w:eastAsia="Times New Roman"/>
                <w:b/>
                <w:i w:val="0"/>
                <w:sz w:val="24"/>
              </w:rPr>
              <w:t>Meaning</w:t>
            </w:r>
          </w:p>
        </w:tc>
      </w:tr>
      <w:tr>
        <w:tc>
          <w:tcPr>
            <w:tcW w:type="dxa" w:w="2268"/>
          </w:tcPr>
          <w:p>
            <w:pPr>
              <w:jc w:val="center"/>
            </w:pPr>
            <w:r/>
            <w:r>
              <w:rPr>
                <w:rFonts w:ascii="Times New Roman" w:hAnsi="Times New Roman" w:eastAsia="Times New Roman"/>
                <w:b/>
                <w:i w:val="0"/>
                <w:sz w:val="24"/>
              </w:rPr>
              <w:t>AI</w:t>
            </w:r>
          </w:p>
        </w:tc>
        <w:tc>
          <w:tcPr>
            <w:tcW w:type="dxa" w:w="6803"/>
          </w:tcPr>
          <w:p>
            <w:pPr>
              <w:jc w:val="left"/>
            </w:pPr>
            <w:r/>
            <w:r>
              <w:rPr>
                <w:rFonts w:ascii="Times New Roman" w:hAnsi="Times New Roman" w:eastAsia="Times New Roman"/>
                <w:b w:val="0"/>
                <w:i w:val="0"/>
                <w:sz w:val="24"/>
              </w:rPr>
              <w:t>Artificial Intelligence</w:t>
            </w:r>
          </w:p>
        </w:tc>
      </w:tr>
      <w:tr>
        <w:tc>
          <w:tcPr>
            <w:tcW w:type="dxa" w:w="2268"/>
          </w:tcPr>
          <w:p>
            <w:pPr>
              <w:jc w:val="center"/>
            </w:pPr>
            <w:r/>
            <w:r>
              <w:rPr>
                <w:rFonts w:ascii="Times New Roman" w:hAnsi="Times New Roman" w:eastAsia="Times New Roman"/>
                <w:b/>
                <w:i w:val="0"/>
                <w:sz w:val="24"/>
              </w:rPr>
              <w:t>API</w:t>
            </w:r>
          </w:p>
        </w:tc>
        <w:tc>
          <w:tcPr>
            <w:tcW w:type="dxa" w:w="6803"/>
          </w:tcPr>
          <w:p>
            <w:pPr>
              <w:jc w:val="left"/>
            </w:pPr>
            <w:r/>
            <w:r>
              <w:rPr>
                <w:rFonts w:ascii="Times New Roman" w:hAnsi="Times New Roman" w:eastAsia="Times New Roman"/>
                <w:b w:val="0"/>
                <w:i w:val="0"/>
                <w:sz w:val="24"/>
              </w:rPr>
              <w:t>Application Programming Interface</w:t>
            </w:r>
          </w:p>
        </w:tc>
      </w:tr>
      <w:tr>
        <w:tc>
          <w:tcPr>
            <w:tcW w:type="dxa" w:w="2268"/>
          </w:tcPr>
          <w:p>
            <w:pPr>
              <w:jc w:val="center"/>
            </w:pPr>
            <w:r/>
            <w:r>
              <w:rPr>
                <w:rFonts w:ascii="Times New Roman" w:hAnsi="Times New Roman" w:eastAsia="Times New Roman"/>
                <w:b/>
                <w:i w:val="0"/>
                <w:sz w:val="24"/>
              </w:rPr>
              <w:t>ATR</w:t>
            </w:r>
          </w:p>
        </w:tc>
        <w:tc>
          <w:tcPr>
            <w:tcW w:type="dxa" w:w="6803"/>
          </w:tcPr>
          <w:p>
            <w:pPr>
              <w:jc w:val="left"/>
            </w:pPr>
            <w:r/>
            <w:r>
              <w:rPr>
                <w:rFonts w:ascii="Times New Roman" w:hAnsi="Times New Roman" w:eastAsia="Times New Roman"/>
                <w:b w:val="0"/>
                <w:i w:val="0"/>
                <w:sz w:val="24"/>
              </w:rPr>
              <w:t>Average True Range</w:t>
            </w:r>
          </w:p>
        </w:tc>
      </w:tr>
      <w:tr>
        <w:tc>
          <w:tcPr>
            <w:tcW w:type="dxa" w:w="2268"/>
          </w:tcPr>
          <w:p>
            <w:pPr>
              <w:jc w:val="center"/>
            </w:pPr>
            <w:r/>
            <w:r>
              <w:rPr>
                <w:rFonts w:ascii="Times New Roman" w:hAnsi="Times New Roman" w:eastAsia="Times New Roman"/>
                <w:b/>
                <w:i w:val="0"/>
                <w:sz w:val="24"/>
              </w:rPr>
              <w:t>BB</w:t>
            </w:r>
          </w:p>
        </w:tc>
        <w:tc>
          <w:tcPr>
            <w:tcW w:type="dxa" w:w="6803"/>
          </w:tcPr>
          <w:p>
            <w:pPr>
              <w:jc w:val="left"/>
            </w:pPr>
            <w:r/>
            <w:r>
              <w:rPr>
                <w:rFonts w:ascii="Times New Roman" w:hAnsi="Times New Roman" w:eastAsia="Times New Roman"/>
                <w:b w:val="0"/>
                <w:i w:val="0"/>
                <w:sz w:val="24"/>
              </w:rPr>
              <w:t>Bollinger Bands</w:t>
            </w:r>
          </w:p>
        </w:tc>
      </w:tr>
      <w:tr>
        <w:tc>
          <w:tcPr>
            <w:tcW w:type="dxa" w:w="2268"/>
          </w:tcPr>
          <w:p>
            <w:pPr>
              <w:jc w:val="center"/>
            </w:pPr>
            <w:r/>
            <w:r>
              <w:rPr>
                <w:rFonts w:ascii="Times New Roman" w:hAnsi="Times New Roman" w:eastAsia="Times New Roman"/>
                <w:b/>
                <w:i w:val="0"/>
                <w:sz w:val="24"/>
              </w:rPr>
              <w:t>CAGR</w:t>
            </w:r>
          </w:p>
        </w:tc>
        <w:tc>
          <w:tcPr>
            <w:tcW w:type="dxa" w:w="6803"/>
          </w:tcPr>
          <w:p>
            <w:pPr>
              <w:jc w:val="left"/>
            </w:pPr>
            <w:r/>
            <w:r>
              <w:rPr>
                <w:rFonts w:ascii="Times New Roman" w:hAnsi="Times New Roman" w:eastAsia="Times New Roman"/>
                <w:b w:val="0"/>
                <w:i w:val="0"/>
                <w:sz w:val="24"/>
              </w:rPr>
              <w:t>Compound Annual Growth Rate</w:t>
            </w:r>
          </w:p>
        </w:tc>
      </w:tr>
      <w:tr>
        <w:tc>
          <w:tcPr>
            <w:tcW w:type="dxa" w:w="2268"/>
          </w:tcPr>
          <w:p>
            <w:pPr>
              <w:jc w:val="center"/>
            </w:pPr>
            <w:r/>
            <w:r>
              <w:rPr>
                <w:rFonts w:ascii="Times New Roman" w:hAnsi="Times New Roman" w:eastAsia="Times New Roman"/>
                <w:b/>
                <w:i w:val="0"/>
                <w:sz w:val="24"/>
              </w:rPr>
              <w:t>CAPM</w:t>
            </w:r>
          </w:p>
        </w:tc>
        <w:tc>
          <w:tcPr>
            <w:tcW w:type="dxa" w:w="6803"/>
          </w:tcPr>
          <w:p>
            <w:pPr>
              <w:jc w:val="left"/>
            </w:pPr>
            <w:r/>
            <w:r>
              <w:rPr>
                <w:rFonts w:ascii="Times New Roman" w:hAnsi="Times New Roman" w:eastAsia="Times New Roman"/>
                <w:b w:val="0"/>
                <w:i w:val="0"/>
                <w:sz w:val="24"/>
              </w:rPr>
              <w:t>Capital Asset Pricing Model</w:t>
            </w:r>
          </w:p>
        </w:tc>
      </w:tr>
      <w:tr>
        <w:tc>
          <w:tcPr>
            <w:tcW w:type="dxa" w:w="2268"/>
          </w:tcPr>
          <w:p>
            <w:pPr>
              <w:jc w:val="center"/>
            </w:pPr>
            <w:r/>
            <w:r>
              <w:rPr>
                <w:rFonts w:ascii="Times New Roman" w:hAnsi="Times New Roman" w:eastAsia="Times New Roman"/>
                <w:b/>
                <w:i w:val="0"/>
                <w:sz w:val="24"/>
              </w:rPr>
              <w:t>CVaR</w:t>
            </w:r>
          </w:p>
        </w:tc>
        <w:tc>
          <w:tcPr>
            <w:tcW w:type="dxa" w:w="6803"/>
          </w:tcPr>
          <w:p>
            <w:pPr>
              <w:jc w:val="left"/>
            </w:pPr>
            <w:r/>
            <w:r>
              <w:rPr>
                <w:rFonts w:ascii="Times New Roman" w:hAnsi="Times New Roman" w:eastAsia="Times New Roman"/>
                <w:b w:val="0"/>
                <w:i w:val="0"/>
                <w:sz w:val="24"/>
              </w:rPr>
              <w:t>Conditional Value at Risk (Expected Shortfall)</w:t>
            </w:r>
          </w:p>
        </w:tc>
      </w:tr>
      <w:tr>
        <w:tc>
          <w:tcPr>
            <w:tcW w:type="dxa" w:w="2268"/>
          </w:tcPr>
          <w:p>
            <w:pPr>
              <w:jc w:val="center"/>
            </w:pPr>
            <w:r/>
            <w:r>
              <w:rPr>
                <w:rFonts w:ascii="Times New Roman" w:hAnsi="Times New Roman" w:eastAsia="Times New Roman"/>
                <w:b/>
                <w:i w:val="0"/>
                <w:sz w:val="24"/>
              </w:rPr>
              <w:t>EMA</w:t>
            </w:r>
          </w:p>
        </w:tc>
        <w:tc>
          <w:tcPr>
            <w:tcW w:type="dxa" w:w="6803"/>
          </w:tcPr>
          <w:p>
            <w:pPr>
              <w:jc w:val="left"/>
            </w:pPr>
            <w:r/>
            <w:r>
              <w:rPr>
                <w:rFonts w:ascii="Times New Roman" w:hAnsi="Times New Roman" w:eastAsia="Times New Roman"/>
                <w:b w:val="0"/>
                <w:i w:val="0"/>
                <w:sz w:val="24"/>
              </w:rPr>
              <w:t>Exponential Moving Average</w:t>
            </w:r>
          </w:p>
        </w:tc>
      </w:tr>
      <w:tr>
        <w:tc>
          <w:tcPr>
            <w:tcW w:type="dxa" w:w="2268"/>
          </w:tcPr>
          <w:p>
            <w:pPr>
              <w:jc w:val="center"/>
            </w:pPr>
            <w:r/>
            <w:r>
              <w:rPr>
                <w:rFonts w:ascii="Times New Roman" w:hAnsi="Times New Roman" w:eastAsia="Times New Roman"/>
                <w:b/>
                <w:i w:val="0"/>
                <w:sz w:val="24"/>
              </w:rPr>
              <w:t>EMH</w:t>
            </w:r>
          </w:p>
        </w:tc>
        <w:tc>
          <w:tcPr>
            <w:tcW w:type="dxa" w:w="6803"/>
          </w:tcPr>
          <w:p>
            <w:pPr>
              <w:jc w:val="left"/>
            </w:pPr>
            <w:r/>
            <w:r>
              <w:rPr>
                <w:rFonts w:ascii="Times New Roman" w:hAnsi="Times New Roman" w:eastAsia="Times New Roman"/>
                <w:b w:val="0"/>
                <w:i w:val="0"/>
                <w:sz w:val="24"/>
              </w:rPr>
              <w:t>Efficient Market Hypothesis</w:t>
            </w:r>
          </w:p>
        </w:tc>
      </w:tr>
      <w:tr>
        <w:tc>
          <w:tcPr>
            <w:tcW w:type="dxa" w:w="2268"/>
          </w:tcPr>
          <w:p>
            <w:pPr>
              <w:jc w:val="center"/>
            </w:pPr>
            <w:r/>
            <w:r>
              <w:rPr>
                <w:rFonts w:ascii="Times New Roman" w:hAnsi="Times New Roman" w:eastAsia="Times New Roman"/>
                <w:b/>
                <w:i w:val="0"/>
                <w:sz w:val="24"/>
              </w:rPr>
              <w:t>EPS</w:t>
            </w:r>
          </w:p>
        </w:tc>
        <w:tc>
          <w:tcPr>
            <w:tcW w:type="dxa" w:w="6803"/>
          </w:tcPr>
          <w:p>
            <w:pPr>
              <w:jc w:val="left"/>
            </w:pPr>
            <w:r/>
            <w:r>
              <w:rPr>
                <w:rFonts w:ascii="Times New Roman" w:hAnsi="Times New Roman" w:eastAsia="Times New Roman"/>
                <w:b w:val="0"/>
                <w:i w:val="0"/>
                <w:sz w:val="24"/>
              </w:rPr>
              <w:t>Earnings Per Share</w:t>
            </w:r>
          </w:p>
        </w:tc>
      </w:tr>
      <w:tr>
        <w:tc>
          <w:tcPr>
            <w:tcW w:type="dxa" w:w="2268"/>
          </w:tcPr>
          <w:p>
            <w:pPr>
              <w:jc w:val="center"/>
            </w:pPr>
            <w:r/>
            <w:r>
              <w:rPr>
                <w:rFonts w:ascii="Times New Roman" w:hAnsi="Times New Roman" w:eastAsia="Times New Roman"/>
                <w:b/>
                <w:i w:val="0"/>
                <w:sz w:val="24"/>
              </w:rPr>
              <w:t>HML</w:t>
            </w:r>
          </w:p>
        </w:tc>
        <w:tc>
          <w:tcPr>
            <w:tcW w:type="dxa" w:w="6803"/>
          </w:tcPr>
          <w:p>
            <w:pPr>
              <w:jc w:val="left"/>
            </w:pPr>
            <w:r/>
            <w:r>
              <w:rPr>
                <w:rFonts w:ascii="Times New Roman" w:hAnsi="Times New Roman" w:eastAsia="Times New Roman"/>
                <w:b w:val="0"/>
                <w:i w:val="0"/>
                <w:sz w:val="24"/>
              </w:rPr>
              <w:t>High Minus Low (Fama-French value factor)</w:t>
            </w:r>
          </w:p>
        </w:tc>
      </w:tr>
      <w:tr>
        <w:tc>
          <w:tcPr>
            <w:tcW w:type="dxa" w:w="2268"/>
          </w:tcPr>
          <w:p>
            <w:pPr>
              <w:jc w:val="center"/>
            </w:pPr>
            <w:r/>
            <w:r>
              <w:rPr>
                <w:rFonts w:ascii="Times New Roman" w:hAnsi="Times New Roman" w:eastAsia="Times New Roman"/>
                <w:b/>
                <w:i w:val="0"/>
                <w:sz w:val="24"/>
              </w:rPr>
              <w:t>HNX</w:t>
            </w:r>
          </w:p>
        </w:tc>
        <w:tc>
          <w:tcPr>
            <w:tcW w:type="dxa" w:w="6803"/>
          </w:tcPr>
          <w:p>
            <w:pPr>
              <w:jc w:val="left"/>
            </w:pPr>
            <w:r/>
            <w:r>
              <w:rPr>
                <w:rFonts w:ascii="Times New Roman" w:hAnsi="Times New Roman" w:eastAsia="Times New Roman"/>
                <w:b w:val="0"/>
                <w:i w:val="0"/>
                <w:sz w:val="24"/>
              </w:rPr>
              <w:t>Hanoi Stock Exchange</w:t>
            </w:r>
          </w:p>
        </w:tc>
      </w:tr>
      <w:tr>
        <w:tc>
          <w:tcPr>
            <w:tcW w:type="dxa" w:w="2268"/>
          </w:tcPr>
          <w:p>
            <w:pPr>
              <w:jc w:val="center"/>
            </w:pPr>
            <w:r/>
            <w:r>
              <w:rPr>
                <w:rFonts w:ascii="Times New Roman" w:hAnsi="Times New Roman" w:eastAsia="Times New Roman"/>
                <w:b/>
                <w:i w:val="0"/>
                <w:sz w:val="24"/>
              </w:rPr>
              <w:t>HOSE</w:t>
            </w:r>
          </w:p>
        </w:tc>
        <w:tc>
          <w:tcPr>
            <w:tcW w:type="dxa" w:w="6803"/>
          </w:tcPr>
          <w:p>
            <w:pPr>
              <w:jc w:val="left"/>
            </w:pPr>
            <w:r/>
            <w:r>
              <w:rPr>
                <w:rFonts w:ascii="Times New Roman" w:hAnsi="Times New Roman" w:eastAsia="Times New Roman"/>
                <w:b w:val="0"/>
                <w:i w:val="0"/>
                <w:sz w:val="24"/>
              </w:rPr>
              <w:t>Ho Chi Minh City Stock Exchange</w:t>
            </w:r>
          </w:p>
        </w:tc>
      </w:tr>
      <w:tr>
        <w:tc>
          <w:tcPr>
            <w:tcW w:type="dxa" w:w="2268"/>
          </w:tcPr>
          <w:p>
            <w:pPr>
              <w:jc w:val="center"/>
            </w:pPr>
            <w:r/>
            <w:r>
              <w:rPr>
                <w:rFonts w:ascii="Times New Roman" w:hAnsi="Times New Roman" w:eastAsia="Times New Roman"/>
                <w:b/>
                <w:i w:val="0"/>
                <w:sz w:val="24"/>
              </w:rPr>
              <w:t>ICB</w:t>
            </w:r>
          </w:p>
        </w:tc>
        <w:tc>
          <w:tcPr>
            <w:tcW w:type="dxa" w:w="6803"/>
          </w:tcPr>
          <w:p>
            <w:pPr>
              <w:jc w:val="left"/>
            </w:pPr>
            <w:r/>
            <w:r>
              <w:rPr>
                <w:rFonts w:ascii="Times New Roman" w:hAnsi="Times New Roman" w:eastAsia="Times New Roman"/>
                <w:b w:val="0"/>
                <w:i w:val="0"/>
                <w:sz w:val="24"/>
              </w:rPr>
              <w:t>Industry Classification Benchmark</w:t>
            </w:r>
          </w:p>
        </w:tc>
      </w:tr>
      <w:tr>
        <w:tc>
          <w:tcPr>
            <w:tcW w:type="dxa" w:w="2268"/>
          </w:tcPr>
          <w:p>
            <w:pPr>
              <w:jc w:val="center"/>
            </w:pPr>
            <w:r/>
            <w:r>
              <w:rPr>
                <w:rFonts w:ascii="Times New Roman" w:hAnsi="Times New Roman" w:eastAsia="Times New Roman"/>
                <w:b/>
                <w:i w:val="0"/>
                <w:sz w:val="24"/>
              </w:rPr>
              <w:t>LLM</w:t>
            </w:r>
          </w:p>
        </w:tc>
        <w:tc>
          <w:tcPr>
            <w:tcW w:type="dxa" w:w="6803"/>
          </w:tcPr>
          <w:p>
            <w:pPr>
              <w:jc w:val="left"/>
            </w:pPr>
            <w:r/>
            <w:r>
              <w:rPr>
                <w:rFonts w:ascii="Times New Roman" w:hAnsi="Times New Roman" w:eastAsia="Times New Roman"/>
                <w:b w:val="0"/>
                <w:i w:val="0"/>
                <w:sz w:val="24"/>
              </w:rPr>
              <w:t>Large Language Model</w:t>
            </w:r>
          </w:p>
        </w:tc>
      </w:tr>
      <w:tr>
        <w:tc>
          <w:tcPr>
            <w:tcW w:type="dxa" w:w="2268"/>
          </w:tcPr>
          <w:p>
            <w:pPr>
              <w:jc w:val="center"/>
            </w:pPr>
            <w:r/>
            <w:r>
              <w:rPr>
                <w:rFonts w:ascii="Times New Roman" w:hAnsi="Times New Roman" w:eastAsia="Times New Roman"/>
                <w:b/>
                <w:i w:val="0"/>
                <w:sz w:val="24"/>
              </w:rPr>
              <w:t>MACD</w:t>
            </w:r>
          </w:p>
        </w:tc>
        <w:tc>
          <w:tcPr>
            <w:tcW w:type="dxa" w:w="6803"/>
          </w:tcPr>
          <w:p>
            <w:pPr>
              <w:jc w:val="left"/>
            </w:pPr>
            <w:r/>
            <w:r>
              <w:rPr>
                <w:rFonts w:ascii="Times New Roman" w:hAnsi="Times New Roman" w:eastAsia="Times New Roman"/>
                <w:b w:val="0"/>
                <w:i w:val="0"/>
                <w:sz w:val="24"/>
              </w:rPr>
              <w:t>Moving Average Convergence Divergence</w:t>
            </w:r>
          </w:p>
        </w:tc>
      </w:tr>
      <w:tr>
        <w:tc>
          <w:tcPr>
            <w:tcW w:type="dxa" w:w="2268"/>
          </w:tcPr>
          <w:p>
            <w:pPr>
              <w:jc w:val="center"/>
            </w:pPr>
            <w:r/>
            <w:r>
              <w:rPr>
                <w:rFonts w:ascii="Times New Roman" w:hAnsi="Times New Roman" w:eastAsia="Times New Roman"/>
                <w:b/>
                <w:i w:val="0"/>
                <w:sz w:val="24"/>
              </w:rPr>
              <w:t>MDD</w:t>
            </w:r>
          </w:p>
        </w:tc>
        <w:tc>
          <w:tcPr>
            <w:tcW w:type="dxa" w:w="6803"/>
          </w:tcPr>
          <w:p>
            <w:pPr>
              <w:jc w:val="left"/>
            </w:pPr>
            <w:r/>
            <w:r>
              <w:rPr>
                <w:rFonts w:ascii="Times New Roman" w:hAnsi="Times New Roman" w:eastAsia="Times New Roman"/>
                <w:b w:val="0"/>
                <w:i w:val="0"/>
                <w:sz w:val="24"/>
              </w:rPr>
              <w:t>Maximum Drawdown</w:t>
            </w:r>
          </w:p>
        </w:tc>
      </w:tr>
      <w:tr>
        <w:tc>
          <w:tcPr>
            <w:tcW w:type="dxa" w:w="2268"/>
          </w:tcPr>
          <w:p>
            <w:pPr>
              <w:jc w:val="center"/>
            </w:pPr>
            <w:r/>
            <w:r>
              <w:rPr>
                <w:rFonts w:ascii="Times New Roman" w:hAnsi="Times New Roman" w:eastAsia="Times New Roman"/>
                <w:b/>
                <w:i w:val="0"/>
                <w:sz w:val="24"/>
              </w:rPr>
              <w:t>MPT</w:t>
            </w:r>
          </w:p>
        </w:tc>
        <w:tc>
          <w:tcPr>
            <w:tcW w:type="dxa" w:w="6803"/>
          </w:tcPr>
          <w:p>
            <w:pPr>
              <w:jc w:val="left"/>
            </w:pPr>
            <w:r/>
            <w:r>
              <w:rPr>
                <w:rFonts w:ascii="Times New Roman" w:hAnsi="Times New Roman" w:eastAsia="Times New Roman"/>
                <w:b w:val="0"/>
                <w:i w:val="0"/>
                <w:sz w:val="24"/>
              </w:rPr>
              <w:t>Modern Portfolio Theory</w:t>
            </w:r>
          </w:p>
        </w:tc>
      </w:tr>
      <w:tr>
        <w:tc>
          <w:tcPr>
            <w:tcW w:type="dxa" w:w="2268"/>
          </w:tcPr>
          <w:p>
            <w:pPr>
              <w:jc w:val="center"/>
            </w:pPr>
            <w:r/>
            <w:r>
              <w:rPr>
                <w:rFonts w:ascii="Times New Roman" w:hAnsi="Times New Roman" w:eastAsia="Times New Roman"/>
                <w:b/>
                <w:i w:val="0"/>
                <w:sz w:val="24"/>
              </w:rPr>
              <w:t>NLP</w:t>
            </w:r>
          </w:p>
        </w:tc>
        <w:tc>
          <w:tcPr>
            <w:tcW w:type="dxa" w:w="6803"/>
          </w:tcPr>
          <w:p>
            <w:pPr>
              <w:jc w:val="left"/>
            </w:pPr>
            <w:r/>
            <w:r>
              <w:rPr>
                <w:rFonts w:ascii="Times New Roman" w:hAnsi="Times New Roman" w:eastAsia="Times New Roman"/>
                <w:b w:val="0"/>
                <w:i w:val="0"/>
                <w:sz w:val="24"/>
              </w:rPr>
              <w:t>Natural Language Processing</w:t>
            </w:r>
          </w:p>
        </w:tc>
      </w:tr>
      <w:tr>
        <w:tc>
          <w:tcPr>
            <w:tcW w:type="dxa" w:w="2268"/>
          </w:tcPr>
          <w:p>
            <w:pPr>
              <w:jc w:val="center"/>
            </w:pPr>
            <w:r/>
            <w:r>
              <w:rPr>
                <w:rFonts w:ascii="Times New Roman" w:hAnsi="Times New Roman" w:eastAsia="Times New Roman"/>
                <w:b/>
                <w:i w:val="0"/>
                <w:sz w:val="24"/>
              </w:rPr>
              <w:t>OHLCV</w:t>
            </w:r>
          </w:p>
        </w:tc>
        <w:tc>
          <w:tcPr>
            <w:tcW w:type="dxa" w:w="6803"/>
          </w:tcPr>
          <w:p>
            <w:pPr>
              <w:jc w:val="left"/>
            </w:pPr>
            <w:r/>
            <w:r>
              <w:rPr>
                <w:rFonts w:ascii="Times New Roman" w:hAnsi="Times New Roman" w:eastAsia="Times New Roman"/>
                <w:b w:val="0"/>
                <w:i w:val="0"/>
                <w:sz w:val="24"/>
              </w:rPr>
              <w:t>Open, High, Low, Close, Volume</w:t>
            </w:r>
          </w:p>
        </w:tc>
      </w:tr>
      <w:tr>
        <w:tc>
          <w:tcPr>
            <w:tcW w:type="dxa" w:w="2268"/>
          </w:tcPr>
          <w:p>
            <w:pPr>
              <w:jc w:val="center"/>
            </w:pPr>
            <w:r/>
            <w:r>
              <w:rPr>
                <w:rFonts w:ascii="Times New Roman" w:hAnsi="Times New Roman" w:eastAsia="Times New Roman"/>
                <w:b/>
                <w:i w:val="0"/>
                <w:sz w:val="24"/>
              </w:rPr>
              <w:t>RAG</w:t>
            </w:r>
          </w:p>
        </w:tc>
        <w:tc>
          <w:tcPr>
            <w:tcW w:type="dxa" w:w="6803"/>
          </w:tcPr>
          <w:p>
            <w:pPr>
              <w:jc w:val="left"/>
            </w:pPr>
            <w:r/>
            <w:r>
              <w:rPr>
                <w:rFonts w:ascii="Times New Roman" w:hAnsi="Times New Roman" w:eastAsia="Times New Roman"/>
                <w:b w:val="0"/>
                <w:i w:val="0"/>
                <w:sz w:val="24"/>
              </w:rPr>
              <w:t>Retrieval-Augmented Generation</w:t>
            </w:r>
          </w:p>
        </w:tc>
      </w:tr>
      <w:tr>
        <w:tc>
          <w:tcPr>
            <w:tcW w:type="dxa" w:w="2268"/>
          </w:tcPr>
          <w:p>
            <w:pPr>
              <w:jc w:val="center"/>
            </w:pPr>
            <w:r/>
            <w:r>
              <w:rPr>
                <w:rFonts w:ascii="Times New Roman" w:hAnsi="Times New Roman" w:eastAsia="Times New Roman"/>
                <w:b/>
                <w:i w:val="0"/>
                <w:sz w:val="24"/>
              </w:rPr>
              <w:t>ROE</w:t>
            </w:r>
          </w:p>
        </w:tc>
        <w:tc>
          <w:tcPr>
            <w:tcW w:type="dxa" w:w="6803"/>
          </w:tcPr>
          <w:p>
            <w:pPr>
              <w:jc w:val="left"/>
            </w:pPr>
            <w:r/>
            <w:r>
              <w:rPr>
                <w:rFonts w:ascii="Times New Roman" w:hAnsi="Times New Roman" w:eastAsia="Times New Roman"/>
                <w:b w:val="0"/>
                <w:i w:val="0"/>
                <w:sz w:val="24"/>
              </w:rPr>
              <w:t>Return on Equity</w:t>
            </w:r>
          </w:p>
        </w:tc>
      </w:tr>
      <w:tr>
        <w:tc>
          <w:tcPr>
            <w:tcW w:type="dxa" w:w="2268"/>
          </w:tcPr>
          <w:p>
            <w:pPr>
              <w:jc w:val="center"/>
            </w:pPr>
            <w:r/>
            <w:r>
              <w:rPr>
                <w:rFonts w:ascii="Times New Roman" w:hAnsi="Times New Roman" w:eastAsia="Times New Roman"/>
                <w:b/>
                <w:i w:val="0"/>
                <w:sz w:val="24"/>
              </w:rPr>
              <w:t>RSI</w:t>
            </w:r>
          </w:p>
        </w:tc>
        <w:tc>
          <w:tcPr>
            <w:tcW w:type="dxa" w:w="6803"/>
          </w:tcPr>
          <w:p>
            <w:pPr>
              <w:jc w:val="left"/>
            </w:pPr>
            <w:r/>
            <w:r>
              <w:rPr>
                <w:rFonts w:ascii="Times New Roman" w:hAnsi="Times New Roman" w:eastAsia="Times New Roman"/>
                <w:b w:val="0"/>
                <w:i w:val="0"/>
                <w:sz w:val="24"/>
              </w:rPr>
              <w:t>Relative Strength Index</w:t>
            </w:r>
          </w:p>
        </w:tc>
      </w:tr>
      <w:tr>
        <w:tc>
          <w:tcPr>
            <w:tcW w:type="dxa" w:w="2268"/>
          </w:tcPr>
          <w:p>
            <w:pPr>
              <w:jc w:val="center"/>
            </w:pPr>
            <w:r/>
            <w:r>
              <w:rPr>
                <w:rFonts w:ascii="Times New Roman" w:hAnsi="Times New Roman" w:eastAsia="Times New Roman"/>
                <w:b/>
                <w:i w:val="0"/>
                <w:sz w:val="24"/>
              </w:rPr>
              <w:t>SMA</w:t>
            </w:r>
          </w:p>
        </w:tc>
        <w:tc>
          <w:tcPr>
            <w:tcW w:type="dxa" w:w="6803"/>
          </w:tcPr>
          <w:p>
            <w:pPr>
              <w:jc w:val="left"/>
            </w:pPr>
            <w:r/>
            <w:r>
              <w:rPr>
                <w:rFonts w:ascii="Times New Roman" w:hAnsi="Times New Roman" w:eastAsia="Times New Roman"/>
                <w:b w:val="0"/>
                <w:i w:val="0"/>
                <w:sz w:val="24"/>
              </w:rPr>
              <w:t>Simple Moving Average</w:t>
            </w:r>
          </w:p>
        </w:tc>
      </w:tr>
      <w:tr>
        <w:tc>
          <w:tcPr>
            <w:tcW w:type="dxa" w:w="2268"/>
          </w:tcPr>
          <w:p>
            <w:pPr>
              <w:jc w:val="center"/>
            </w:pPr>
            <w:r/>
            <w:r>
              <w:rPr>
                <w:rFonts w:ascii="Times New Roman" w:hAnsi="Times New Roman" w:eastAsia="Times New Roman"/>
                <w:b/>
                <w:i w:val="0"/>
                <w:sz w:val="24"/>
              </w:rPr>
              <w:t>SMB</w:t>
            </w:r>
          </w:p>
        </w:tc>
        <w:tc>
          <w:tcPr>
            <w:tcW w:type="dxa" w:w="6803"/>
          </w:tcPr>
          <w:p>
            <w:pPr>
              <w:jc w:val="left"/>
            </w:pPr>
            <w:r/>
            <w:r>
              <w:rPr>
                <w:rFonts w:ascii="Times New Roman" w:hAnsi="Times New Roman" w:eastAsia="Times New Roman"/>
                <w:b w:val="0"/>
                <w:i w:val="0"/>
                <w:sz w:val="24"/>
              </w:rPr>
              <w:t>Small Minus Big (Fama-French size factor)</w:t>
            </w:r>
          </w:p>
        </w:tc>
      </w:tr>
      <w:tr>
        <w:tc>
          <w:tcPr>
            <w:tcW w:type="dxa" w:w="2268"/>
          </w:tcPr>
          <w:p>
            <w:pPr>
              <w:jc w:val="center"/>
            </w:pPr>
            <w:r/>
            <w:r>
              <w:rPr>
                <w:rFonts w:ascii="Times New Roman" w:hAnsi="Times New Roman" w:eastAsia="Times New Roman"/>
                <w:b/>
                <w:i w:val="0"/>
                <w:sz w:val="24"/>
              </w:rPr>
              <w:t>SR</w:t>
            </w:r>
          </w:p>
        </w:tc>
        <w:tc>
          <w:tcPr>
            <w:tcW w:type="dxa" w:w="6803"/>
          </w:tcPr>
          <w:p>
            <w:pPr>
              <w:jc w:val="left"/>
            </w:pPr>
            <w:r/>
            <w:r>
              <w:rPr>
                <w:rFonts w:ascii="Times New Roman" w:hAnsi="Times New Roman" w:eastAsia="Times New Roman"/>
                <w:b w:val="0"/>
                <w:i w:val="0"/>
                <w:sz w:val="24"/>
              </w:rPr>
              <w:t>Sharpe Ratio</w:t>
            </w:r>
          </w:p>
        </w:tc>
      </w:tr>
      <w:tr>
        <w:tc>
          <w:tcPr>
            <w:tcW w:type="dxa" w:w="2268"/>
          </w:tcPr>
          <w:p>
            <w:pPr>
              <w:jc w:val="center"/>
            </w:pPr>
            <w:r/>
            <w:r>
              <w:rPr>
                <w:rFonts w:ascii="Times New Roman" w:hAnsi="Times New Roman" w:eastAsia="Times New Roman"/>
                <w:b/>
                <w:i w:val="0"/>
                <w:sz w:val="24"/>
              </w:rPr>
              <w:t>SSI</w:t>
            </w:r>
          </w:p>
        </w:tc>
        <w:tc>
          <w:tcPr>
            <w:tcW w:type="dxa" w:w="6803"/>
          </w:tcPr>
          <w:p>
            <w:pPr>
              <w:jc w:val="left"/>
            </w:pPr>
            <w:r/>
            <w:r>
              <w:rPr>
                <w:rFonts w:ascii="Times New Roman" w:hAnsi="Times New Roman" w:eastAsia="Times New Roman"/>
                <w:b w:val="0"/>
                <w:i w:val="0"/>
                <w:sz w:val="24"/>
              </w:rPr>
              <w:t>Saigon Securities Inc.</w:t>
            </w:r>
          </w:p>
        </w:tc>
      </w:tr>
      <w:tr>
        <w:tc>
          <w:tcPr>
            <w:tcW w:type="dxa" w:w="2268"/>
          </w:tcPr>
          <w:p>
            <w:pPr>
              <w:jc w:val="center"/>
            </w:pPr>
            <w:r/>
            <w:r>
              <w:rPr>
                <w:rFonts w:ascii="Times New Roman" w:hAnsi="Times New Roman" w:eastAsia="Times New Roman"/>
                <w:b/>
                <w:i w:val="0"/>
                <w:sz w:val="24"/>
              </w:rPr>
              <w:t>TCBS</w:t>
            </w:r>
          </w:p>
        </w:tc>
        <w:tc>
          <w:tcPr>
            <w:tcW w:type="dxa" w:w="6803"/>
          </w:tcPr>
          <w:p>
            <w:pPr>
              <w:jc w:val="left"/>
            </w:pPr>
            <w:r/>
            <w:r>
              <w:rPr>
                <w:rFonts w:ascii="Times New Roman" w:hAnsi="Times New Roman" w:eastAsia="Times New Roman"/>
                <w:b w:val="0"/>
                <w:i w:val="0"/>
                <w:sz w:val="24"/>
              </w:rPr>
              <w:t>Techcombank Securities</w:t>
            </w:r>
          </w:p>
        </w:tc>
      </w:tr>
      <w:tr>
        <w:tc>
          <w:tcPr>
            <w:tcW w:type="dxa" w:w="2268"/>
          </w:tcPr>
          <w:p>
            <w:pPr>
              <w:jc w:val="center"/>
            </w:pPr>
            <w:r/>
            <w:r>
              <w:rPr>
                <w:rFonts w:ascii="Times New Roman" w:hAnsi="Times New Roman" w:eastAsia="Times New Roman"/>
                <w:b/>
                <w:i w:val="0"/>
                <w:sz w:val="24"/>
              </w:rPr>
              <w:t>UPCoM</w:t>
            </w:r>
          </w:p>
        </w:tc>
        <w:tc>
          <w:tcPr>
            <w:tcW w:type="dxa" w:w="6803"/>
          </w:tcPr>
          <w:p>
            <w:pPr>
              <w:jc w:val="left"/>
            </w:pPr>
            <w:r/>
            <w:r>
              <w:rPr>
                <w:rFonts w:ascii="Times New Roman" w:hAnsi="Times New Roman" w:eastAsia="Times New Roman"/>
                <w:b w:val="0"/>
                <w:i w:val="0"/>
                <w:sz w:val="24"/>
              </w:rPr>
              <w:t>Unlisted Public Company Market</w:t>
            </w:r>
          </w:p>
        </w:tc>
      </w:tr>
      <w:tr>
        <w:tc>
          <w:tcPr>
            <w:tcW w:type="dxa" w:w="2268"/>
          </w:tcPr>
          <w:p>
            <w:pPr>
              <w:jc w:val="center"/>
            </w:pPr>
            <w:r/>
            <w:r>
              <w:rPr>
                <w:rFonts w:ascii="Times New Roman" w:hAnsi="Times New Roman" w:eastAsia="Times New Roman"/>
                <w:b/>
                <w:i w:val="0"/>
                <w:sz w:val="24"/>
              </w:rPr>
              <w:t>VaR</w:t>
            </w:r>
          </w:p>
        </w:tc>
        <w:tc>
          <w:tcPr>
            <w:tcW w:type="dxa" w:w="6803"/>
          </w:tcPr>
          <w:p>
            <w:pPr>
              <w:jc w:val="left"/>
            </w:pPr>
            <w:r/>
            <w:r>
              <w:rPr>
                <w:rFonts w:ascii="Times New Roman" w:hAnsi="Times New Roman" w:eastAsia="Times New Roman"/>
                <w:b w:val="0"/>
                <w:i w:val="0"/>
                <w:sz w:val="24"/>
              </w:rPr>
              <w:t>Value at Risk</w:t>
            </w:r>
          </w:p>
        </w:tc>
      </w:tr>
      <w:tr>
        <w:tc>
          <w:tcPr>
            <w:tcW w:type="dxa" w:w="2268"/>
          </w:tcPr>
          <w:p>
            <w:pPr>
              <w:jc w:val="center"/>
            </w:pPr>
            <w:r/>
            <w:r>
              <w:rPr>
                <w:rFonts w:ascii="Times New Roman" w:hAnsi="Times New Roman" w:eastAsia="Times New Roman"/>
                <w:b/>
                <w:i w:val="0"/>
                <w:sz w:val="24"/>
              </w:rPr>
              <w:t>VND</w:t>
            </w:r>
          </w:p>
        </w:tc>
        <w:tc>
          <w:tcPr>
            <w:tcW w:type="dxa" w:w="6803"/>
          </w:tcPr>
          <w:p>
            <w:pPr>
              <w:jc w:val="left"/>
            </w:pPr>
            <w:r/>
            <w:r>
              <w:rPr>
                <w:rFonts w:ascii="Times New Roman" w:hAnsi="Times New Roman" w:eastAsia="Times New Roman"/>
                <w:b w:val="0"/>
                <w:i w:val="0"/>
                <w:sz w:val="24"/>
              </w:rPr>
              <w:t>Vietnamese Dong</w:t>
            </w:r>
          </w:p>
        </w:tc>
      </w:tr>
    </w:tbl>
    <w:p>
      <w:r>
        <w:br w:type="page"/>
      </w:r>
    </w:p>
    <w:p>
      <w:pPr>
        <w:sectPr>
          <w:footerReference w:type="default" r:id="rId7"/>
          <w:pgSz w:w="11906" w:h="16838" w:code="9"/>
          <w:pgMar w:top="1417" w:right="1134" w:bottom="1417" w:left="1701" w:header="720" w:footer="720" w:gutter="0"/>
          <w:cols w:space="720"/>
          <w:docGrid w:linePitch="360"/>
        </w:sectPr>
      </w:pPr>
    </w:p>
    <w:p>
      <w:pPr>
        <w:spacing w:before="360" w:after="120" w:line="360" w:lineRule="auto"/>
        <w:jc w:val="left"/>
        <w:outlineLvl w:val="0"/>
      </w:pPr>
      <w:r>
        <w:rPr>
          <w:rFonts w:ascii="Times New Roman" w:hAnsi="Times New Roman" w:eastAsia="Times New Roman"/>
          <w:b/>
          <w:i w:val="0"/>
          <w:color w:val="000000"/>
          <w:sz w:val="32"/>
        </w:rPr>
        <w:t>1. Introduction</w:t>
      </w:r>
    </w:p>
    <w:p>
      <w:pPr>
        <w:spacing w:before="240" w:after="120" w:line="360" w:lineRule="auto"/>
        <w:jc w:val="left"/>
        <w:outlineLvl w:val="1"/>
      </w:pPr>
      <w:r>
        <w:rPr>
          <w:rFonts w:ascii="Times New Roman" w:hAnsi="Times New Roman" w:eastAsia="Times New Roman"/>
          <w:b/>
          <w:i w:val="0"/>
          <w:color w:val="000000"/>
          <w:sz w:val="28"/>
        </w:rPr>
        <w:t>1.1 Background and Motivation</w:t>
      </w:r>
    </w:p>
    <w:p>
      <w:pPr>
        <w:spacing w:after="120" w:before="0" w:line="360" w:lineRule="auto"/>
        <w:ind w:firstLine="720"/>
        <w:jc w:val="both"/>
      </w:pPr>
      <w:r>
        <w:rPr>
          <w:rFonts w:ascii="Times New Roman" w:hAnsi="Times New Roman" w:eastAsia="Times New Roman"/>
          <w:b w:val="0"/>
          <w:i w:val="0"/>
          <w:sz w:val="26"/>
        </w:rPr>
        <w:t>The Vietnamese securities market has grown rapidly over the past decade. By 2024, trading accounts reached 9.2 million — surpassing the government's 2025 target — with retail investors accounting for over 80 per cent of daily trading volume on the Ho Chi Minh Stock Exchange (HOSE) (FiinPro, 2024). Vietnam's fintech market, valued at approximately USD 16.9 billion in 2024, is projected to reach USD 62.7 billion by 2033, supported by high smartphone penetration (84 per cent) and a digitally engaged population (IMARC Group, 2024).</w:t>
      </w:r>
    </w:p>
    <w:p>
      <w:pPr>
        <w:spacing w:after="120" w:before="0" w:line="360" w:lineRule="auto"/>
        <w:ind w:firstLine="720"/>
        <w:jc w:val="both"/>
      </w:pPr>
      <w:r>
        <w:rPr>
          <w:rFonts w:ascii="Times New Roman" w:hAnsi="Times New Roman" w:eastAsia="Times New Roman"/>
          <w:b w:val="0"/>
          <w:i w:val="0"/>
          <w:sz w:val="26"/>
        </w:rPr>
        <w:t>Despite this growth, Vietnamese retail investors still lack access to proper quantitative analysis tools. International platforms like TradingView offer advanced charting but do not fully support HOSE-specific data or Vietnamese market conventions (TradingView, n.d.). None of the major international algorithmic trading platforms support HOSE at all. On the domestic side, brokerage platforms from TCBS, SSI iBoard, and VNDirect provide charting and order execution, but none of them offer strategy backtesting, portfolio optimisation, factor analysis, or risk measurement at the retail level (TCBS, n.d.; SSI, n.d.).</w:t>
      </w:r>
    </w:p>
    <w:p>
      <w:pPr>
        <w:spacing w:after="120" w:before="0" w:line="360" w:lineRule="auto"/>
        <w:ind w:firstLine="720"/>
        <w:jc w:val="both"/>
      </w:pPr>
      <w:r>
        <w:rPr>
          <w:rFonts w:ascii="Times New Roman" w:hAnsi="Times New Roman" w:eastAsia="Times New Roman"/>
          <w:b w:val="0"/>
          <w:i w:val="0"/>
          <w:sz w:val="26"/>
        </w:rPr>
        <w:t>In practice, this means that quantitative finance methods — now standard in developed markets — remain out of reach for most Vietnamese investors. They trade actively, but without systematic tools to rigorously test investment ideas before putting capital at risk.</w:t>
      </w:r>
    </w:p>
    <w:p>
      <w:pPr>
        <w:spacing w:after="120" w:before="0" w:line="360" w:lineRule="auto"/>
        <w:ind w:firstLine="720"/>
        <w:jc w:val="both"/>
      </w:pPr>
      <w:r>
        <w:rPr>
          <w:rFonts w:ascii="Times New Roman" w:hAnsi="Times New Roman" w:eastAsia="Times New Roman"/>
          <w:b w:val="0"/>
          <w:i w:val="0"/>
          <w:sz w:val="26"/>
        </w:rPr>
        <w:t>At the same time, large language models (LLMs) offer an opportunity to make quantitative analysis more approachable through conversational AI. The catch is that LLMs tend to hallucinate — they can produce fluent but factually wrong outputs (Lin et al., 2022). In finance, this is dangerous: a user might act on fabricated statistics. Retrieval-augmented generation (RAG) reduces this risk by anchoring model responses in retrieved evidence (Lewis et al., 2020), though this only works well when the underlying data is structured and validated.</w:t>
      </w:r>
    </w:p>
    <w:p>
      <w:pPr>
        <w:spacing w:before="240" w:after="120" w:line="360" w:lineRule="auto"/>
        <w:jc w:val="left"/>
        <w:outlineLvl w:val="1"/>
      </w:pPr>
      <w:r>
        <w:rPr>
          <w:rFonts w:ascii="Times New Roman" w:hAnsi="Times New Roman" w:eastAsia="Times New Roman"/>
          <w:b/>
          <w:i w:val="0"/>
          <w:color w:val="000000"/>
          <w:sz w:val="28"/>
        </w:rPr>
        <w:t>1.2 Objectives</w:t>
      </w:r>
    </w:p>
    <w:p>
      <w:pPr>
        <w:spacing w:after="120" w:before="0" w:line="360" w:lineRule="auto"/>
        <w:ind w:firstLine="720"/>
        <w:jc w:val="both"/>
      </w:pPr>
      <w:r>
        <w:rPr>
          <w:rFonts w:ascii="Times New Roman" w:hAnsi="Times New Roman" w:eastAsia="Times New Roman"/>
          <w:b w:val="0"/>
          <w:i w:val="0"/>
          <w:sz w:val="26"/>
        </w:rPr>
        <w:t xml:space="preserve">This thesis designs, implements, and evaluates </w:t>
      </w:r>
      <w:r>
        <w:rPr>
          <w:rFonts w:ascii="Times New Roman" w:hAnsi="Times New Roman" w:eastAsia="Times New Roman"/>
          <w:b/>
          <w:i w:val="0"/>
          <w:sz w:val="26"/>
        </w:rPr>
        <w:t>QuantVN Strategy Forge</w:t>
      </w:r>
      <w:r>
        <w:rPr>
          <w:rFonts w:ascii="Times New Roman" w:hAnsi="Times New Roman" w:eastAsia="Times New Roman"/>
          <w:b w:val="0"/>
          <w:i w:val="0"/>
          <w:sz w:val="26"/>
        </w:rPr>
        <w:t>, a web-based quantitative analysis platform for Vietnamese equities that enables retail investors and finance students to:</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Screen stocks using technical indicators and fundamental metrics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Design, backtest, and compare trading strategies with realistic assumptions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Optimise portfolios and analyse risk using established quantitative methods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Receive AI-assisted explanations of quantitative results grounded in actual computed evidence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Learn quantitative finance concepts through an integrated educational hub</w:t>
      </w:r>
    </w:p>
    <w:p>
      <w:pPr>
        <w:spacing w:before="240" w:after="120" w:line="360" w:lineRule="auto"/>
        <w:jc w:val="left"/>
        <w:outlineLvl w:val="1"/>
      </w:pPr>
      <w:r>
        <w:rPr>
          <w:rFonts w:ascii="Times New Roman" w:hAnsi="Times New Roman" w:eastAsia="Times New Roman"/>
          <w:b/>
          <w:i w:val="0"/>
          <w:color w:val="000000"/>
          <w:sz w:val="28"/>
        </w:rPr>
        <w:t>1.3 Research Questions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5"/>
        <w:gridCol w:w="4535"/>
      </w:tblGrid>
      <w:tr>
        <w:tc>
          <w:tcPr>
            <w:tcW w:type="dxa" w:w="4535"/>
            <w:shd w:fill="D9E2F3" w:val="clear"/>
          </w:tcPr>
          <w:p>
            <w:pPr>
              <w:jc w:val="center"/>
            </w:pPr>
            <w:r/>
            <w:r>
              <w:rPr>
                <w:rFonts w:ascii="Times New Roman" w:hAnsi="Times New Roman" w:eastAsia="Times New Roman"/>
                <w:b/>
                <w:i w:val="0"/>
                <w:sz w:val="22"/>
              </w:rPr>
              <w:t>#</w:t>
            </w:r>
          </w:p>
        </w:tc>
        <w:tc>
          <w:tcPr>
            <w:tcW w:type="dxa" w:w="4535"/>
            <w:shd w:fill="D9E2F3" w:val="clear"/>
          </w:tcPr>
          <w:p>
            <w:pPr>
              <w:jc w:val="center"/>
            </w:pPr>
            <w:r/>
            <w:r>
              <w:rPr>
                <w:rFonts w:ascii="Times New Roman" w:hAnsi="Times New Roman" w:eastAsia="Times New Roman"/>
                <w:b/>
                <w:i w:val="0"/>
                <w:sz w:val="22"/>
              </w:rPr>
              <w:t>Research Question</w:t>
            </w:r>
          </w:p>
        </w:tc>
      </w:tr>
      <w:tr>
        <w:tc>
          <w:tcPr>
            <w:tcW w:type="dxa" w:w="4535"/>
          </w:tcPr>
          <w:p>
            <w:pPr>
              <w:jc w:val="left"/>
            </w:pPr>
            <w:r/>
            <w:r>
              <w:rPr>
                <w:rFonts w:ascii="Times New Roman" w:hAnsi="Times New Roman" w:eastAsia="Times New Roman"/>
                <w:b w:val="0"/>
                <w:i w:val="0"/>
                <w:sz w:val="22"/>
              </w:rPr>
              <w:t>RQ1</w:t>
            </w:r>
          </w:p>
        </w:tc>
        <w:tc>
          <w:tcPr>
            <w:tcW w:type="dxa" w:w="4535"/>
          </w:tcPr>
          <w:p>
            <w:pPr>
              <w:jc w:val="left"/>
            </w:pPr>
            <w:r/>
            <w:r>
              <w:rPr>
                <w:rFonts w:ascii="Times New Roman" w:hAnsi="Times New Roman" w:eastAsia="Times New Roman"/>
                <w:b w:val="0"/>
                <w:i w:val="0"/>
                <w:sz w:val="22"/>
              </w:rPr>
              <w:t>How can a web platform be designed to provide accessible quantitative analysis tools for Vietnamese retail investors on HOSE?</w:t>
            </w:r>
          </w:p>
        </w:tc>
      </w:tr>
      <w:tr>
        <w:tc>
          <w:tcPr>
            <w:tcW w:type="dxa" w:w="4535"/>
          </w:tcPr>
          <w:p>
            <w:pPr>
              <w:jc w:val="left"/>
            </w:pPr>
            <w:r/>
            <w:r>
              <w:rPr>
                <w:rFonts w:ascii="Times New Roman" w:hAnsi="Times New Roman" w:eastAsia="Times New Roman"/>
                <w:b w:val="0"/>
                <w:i w:val="0"/>
                <w:sz w:val="22"/>
              </w:rPr>
              <w:t>RQ2</w:t>
            </w:r>
          </w:p>
        </w:tc>
        <w:tc>
          <w:tcPr>
            <w:tcW w:type="dxa" w:w="4535"/>
          </w:tcPr>
          <w:p>
            <w:pPr>
              <w:jc w:val="left"/>
            </w:pPr>
            <w:r/>
            <w:r>
              <w:rPr>
                <w:rFonts w:ascii="Times New Roman" w:hAnsi="Times New Roman" w:eastAsia="Times New Roman"/>
                <w:b w:val="0"/>
                <w:i w:val="0"/>
                <w:sz w:val="22"/>
              </w:rPr>
              <w:t>How effective is the platform at enabling users to design, backtest, and evaluate trading strategies with transparent assumptions?</w:t>
            </w:r>
          </w:p>
        </w:tc>
      </w:tr>
      <w:tr>
        <w:tc>
          <w:tcPr>
            <w:tcW w:type="dxa" w:w="4535"/>
          </w:tcPr>
          <w:p>
            <w:pPr>
              <w:jc w:val="left"/>
            </w:pPr>
            <w:r/>
            <w:r>
              <w:rPr>
                <w:rFonts w:ascii="Times New Roman" w:hAnsi="Times New Roman" w:eastAsia="Times New Roman"/>
                <w:b w:val="0"/>
                <w:i w:val="0"/>
                <w:sz w:val="22"/>
              </w:rPr>
              <w:t>RQ3</w:t>
            </w:r>
          </w:p>
        </w:tc>
        <w:tc>
          <w:tcPr>
            <w:tcW w:type="dxa" w:w="4535"/>
          </w:tcPr>
          <w:p>
            <w:pPr>
              <w:jc w:val="left"/>
            </w:pPr>
            <w:r/>
            <w:r>
              <w:rPr>
                <w:rFonts w:ascii="Times New Roman" w:hAnsi="Times New Roman" w:eastAsia="Times New Roman"/>
                <w:b w:val="0"/>
                <w:i w:val="0"/>
                <w:sz w:val="22"/>
              </w:rPr>
              <w:t>Can an AI assistant provide reliable, evidence-grounded explanations of quantitative results without fabricating unsupported claims?</w:t>
            </w:r>
          </w:p>
        </w:tc>
      </w:tr>
    </w:tbl>
    <w:p>
      <w:pPr>
        <w:spacing w:after="120" w:before="0" w:line="360" w:lineRule="auto"/>
      </w:pPr>
    </w:p>
    <w:p>
      <w:pPr>
        <w:spacing w:before="240" w:after="120" w:line="360" w:lineRule="auto"/>
        <w:jc w:val="left"/>
        <w:outlineLvl w:val="1"/>
      </w:pPr>
      <w:r>
        <w:rPr>
          <w:rFonts w:ascii="Times New Roman" w:hAnsi="Times New Roman" w:eastAsia="Times New Roman"/>
          <w:b/>
          <w:i w:val="0"/>
          <w:color w:val="000000"/>
          <w:sz w:val="28"/>
        </w:rPr>
        <w:t>1.4 Scope and Assumptions</w:t>
      </w:r>
    </w:p>
    <w:p>
      <w:pPr>
        <w:spacing w:after="120" w:before="0" w:line="360" w:lineRule="auto"/>
        <w:ind w:firstLine="720"/>
        <w:jc w:val="both"/>
      </w:pPr>
      <w:r>
        <w:rPr>
          <w:rFonts w:ascii="Times New Roman" w:hAnsi="Times New Roman" w:eastAsia="Times New Roman"/>
          <w:b w:val="0"/>
          <w:i w:val="0"/>
          <w:sz w:val="26"/>
        </w:rPr>
        <w:t>The platform targets daily-frequency Vietnamese equity analysis on HOSE, covering 412 listed stocks with historical data from 2018 to 2025. The scope is decision support and financial education — the system does not implement brokerage integration, automated order routing, or real-time execution. The AI assistant requires an external LLM provider; the thesis evaluates the effectiveness of tool-grounding and policy enforcement rather than model training.</w:t>
      </w:r>
    </w:p>
    <w:p>
      <w:pPr>
        <w:spacing w:before="240" w:after="120" w:line="360" w:lineRule="auto"/>
        <w:jc w:val="left"/>
        <w:outlineLvl w:val="1"/>
      </w:pPr>
      <w:r>
        <w:rPr>
          <w:rFonts w:ascii="Times New Roman" w:hAnsi="Times New Roman" w:eastAsia="Times New Roman"/>
          <w:b/>
          <w:i w:val="0"/>
          <w:color w:val="000000"/>
          <w:sz w:val="28"/>
        </w:rPr>
        <w:t>1.5 Contributions</w:t>
      </w:r>
    </w:p>
    <w:p>
      <w:pPr>
        <w:spacing w:after="120" w:before="0" w:line="360" w:lineRule="auto"/>
        <w:ind w:firstLine="720"/>
        <w:jc w:val="both"/>
      </w:pPr>
      <w:r>
        <w:rPr>
          <w:rFonts w:ascii="Times New Roman" w:hAnsi="Times New Roman" w:eastAsia="Times New Roman"/>
          <w:b w:val="0"/>
          <w:i w:val="0"/>
          <w:sz w:val="26"/>
        </w:rPr>
        <w:t>This thesis makes three contributions: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 xml:space="preserve">An </w:t>
      </w:r>
      <w:r>
        <w:rPr>
          <w:rFonts w:ascii="Times New Roman" w:hAnsi="Times New Roman" w:eastAsia="Times New Roman"/>
          <w:b/>
          <w:i w:val="0"/>
          <w:sz w:val="26"/>
        </w:rPr>
        <w:t>integrated quantitative analysis platform</w:t>
      </w:r>
      <w:r>
        <w:rPr>
          <w:rFonts w:ascii="Times New Roman" w:hAnsi="Times New Roman" w:eastAsia="Times New Roman"/>
          <w:b w:val="0"/>
          <w:i w:val="0"/>
          <w:sz w:val="26"/>
        </w:rPr>
        <w:t xml:space="preserve"> for Vietnamese equities — covering stock screening, strategy backtesting, portfolio optimisation, risk management, and factor analysis — that fills a gap in the Vietnamese fintech landscape</w:t>
      </w:r>
    </w:p>
    <w:p>
      <w:pPr>
        <w:spacing w:after="60" w:before="0" w:line="360" w:lineRule="auto"/>
        <w:ind w:left="720"/>
        <w:jc w:val="both"/>
      </w:pPr>
      <w:r>
        <w:rPr>
          <w:rFonts w:ascii="Times New Roman" w:hAnsi="Times New Roman" w:eastAsia="Times New Roman"/>
          <w:b w:val="0"/>
          <w:i w:val="0"/>
          <w:sz w:val="26"/>
        </w:rPr>
        <w:t xml:space="preserve">2.  </w:t>
      </w:r>
      <w:r>
        <w:rPr>
          <w:rFonts w:ascii="Times New Roman" w:hAnsi="Times New Roman" w:eastAsia="Times New Roman"/>
          <w:b w:val="0"/>
          <w:i w:val="0"/>
          <w:sz w:val="26"/>
        </w:rPr>
        <w:t xml:space="preserve">An </w:t>
      </w:r>
      <w:r>
        <w:rPr>
          <w:rFonts w:ascii="Times New Roman" w:hAnsi="Times New Roman" w:eastAsia="Times New Roman"/>
          <w:b/>
          <w:i w:val="0"/>
          <w:sz w:val="26"/>
        </w:rPr>
        <w:t>AI assistant with tool-grounding</w:t>
      </w:r>
      <w:r>
        <w:rPr>
          <w:rFonts w:ascii="Times New Roman" w:hAnsi="Times New Roman" w:eastAsia="Times New Roman"/>
          <w:b w:val="0"/>
          <w:i w:val="0"/>
          <w:sz w:val="26"/>
        </w:rPr>
        <w:t xml:space="preserve"> that generates explanations based on the platform's own computations, and can decline to answer when supporting evidence is not available</w:t>
      </w:r>
    </w:p>
    <w:p>
      <w:pPr>
        <w:spacing w:after="60" w:before="0" w:line="360" w:lineRule="auto"/>
        <w:ind w:left="720"/>
        <w:jc w:val="both"/>
      </w:pPr>
      <w:r>
        <w:rPr>
          <w:rFonts w:ascii="Times New Roman" w:hAnsi="Times New Roman" w:eastAsia="Times New Roman"/>
          <w:b w:val="0"/>
          <w:i w:val="0"/>
          <w:sz w:val="26"/>
        </w:rPr>
        <w:t xml:space="preserve">3.  </w:t>
      </w:r>
      <w:r>
        <w:rPr>
          <w:rFonts w:ascii="Times New Roman" w:hAnsi="Times New Roman" w:eastAsia="Times New Roman"/>
          <w:b w:val="0"/>
          <w:i w:val="0"/>
          <w:sz w:val="26"/>
        </w:rPr>
        <w:t xml:space="preserve">An </w:t>
      </w:r>
      <w:r>
        <w:rPr>
          <w:rFonts w:ascii="Times New Roman" w:hAnsi="Times New Roman" w:eastAsia="Times New Roman"/>
          <w:b/>
          <w:i w:val="0"/>
          <w:sz w:val="26"/>
        </w:rPr>
        <w:t>educational hub</w:t>
      </w:r>
      <w:r>
        <w:rPr>
          <w:rFonts w:ascii="Times New Roman" w:hAnsi="Times New Roman" w:eastAsia="Times New Roman"/>
          <w:b w:val="0"/>
          <w:i w:val="0"/>
          <w:sz w:val="26"/>
        </w:rPr>
        <w:t xml:space="preserve"> connecting quantitative finance theory to the practical tools available on the platform, aimed at Vietnamese retail investors</w:t>
      </w:r>
    </w:p>
    <w:p>
      <w:pPr>
        <w:spacing w:before="240" w:after="120" w:line="360" w:lineRule="auto"/>
        <w:jc w:val="left"/>
        <w:outlineLvl w:val="1"/>
      </w:pPr>
      <w:r>
        <w:rPr>
          <w:rFonts w:ascii="Times New Roman" w:hAnsi="Times New Roman" w:eastAsia="Times New Roman"/>
          <w:b/>
          <w:i w:val="0"/>
          <w:color w:val="000000"/>
          <w:sz w:val="28"/>
        </w:rPr>
        <w:t>1.6 Thesis Structure</w:t>
      </w:r>
    </w:p>
    <w:p>
      <w:pPr>
        <w:spacing w:after="120" w:before="0" w:line="360" w:lineRule="auto"/>
        <w:ind w:firstLine="720"/>
        <w:jc w:val="both"/>
      </w:pPr>
      <w:r>
        <w:rPr>
          <w:rFonts w:ascii="Times New Roman" w:hAnsi="Times New Roman" w:eastAsia="Times New Roman"/>
          <w:b/>
          <w:i w:val="0"/>
          <w:sz w:val="26"/>
        </w:rPr>
        <w:t>Chapter 2</w:t>
      </w:r>
      <w:r>
        <w:rPr>
          <w:rFonts w:ascii="Times New Roman" w:hAnsi="Times New Roman" w:eastAsia="Times New Roman"/>
          <w:b w:val="0"/>
          <w:i w:val="0"/>
          <w:sz w:val="26"/>
        </w:rPr>
        <w:t xml:space="preserve"> reviews the theoretical foundations in quantitative finance, backtesting methodology, and AI-assisted financial analysis, and formulates the research hypotheses. </w:t>
      </w:r>
      <w:r>
        <w:rPr>
          <w:rFonts w:ascii="Times New Roman" w:hAnsi="Times New Roman" w:eastAsia="Times New Roman"/>
          <w:b/>
          <w:i w:val="0"/>
          <w:sz w:val="26"/>
        </w:rPr>
        <w:t>Chapter 3</w:t>
      </w:r>
      <w:r>
        <w:rPr>
          <w:rFonts w:ascii="Times New Roman" w:hAnsi="Times New Roman" w:eastAsia="Times New Roman"/>
          <w:b w:val="0"/>
          <w:i w:val="0"/>
          <w:sz w:val="26"/>
        </w:rPr>
        <w:t xml:space="preserve"> presents the research methodology, including data collection and the quantitative methods employed. </w:t>
      </w:r>
      <w:r>
        <w:rPr>
          <w:rFonts w:ascii="Times New Roman" w:hAnsi="Times New Roman" w:eastAsia="Times New Roman"/>
          <w:b/>
          <w:i w:val="0"/>
          <w:sz w:val="26"/>
        </w:rPr>
        <w:t>Chapter 4</w:t>
      </w:r>
      <w:r>
        <w:rPr>
          <w:rFonts w:ascii="Times New Roman" w:hAnsi="Times New Roman" w:eastAsia="Times New Roman"/>
          <w:b w:val="0"/>
          <w:i w:val="0"/>
          <w:sz w:val="26"/>
        </w:rPr>
        <w:t xml:space="preserve"> describes the system design, demonstrates the implemented features, and discusses results. </w:t>
      </w:r>
      <w:r>
        <w:rPr>
          <w:rFonts w:ascii="Times New Roman" w:hAnsi="Times New Roman" w:eastAsia="Times New Roman"/>
          <w:b/>
          <w:i w:val="0"/>
          <w:sz w:val="26"/>
        </w:rPr>
        <w:t>Chapter 5</w:t>
      </w:r>
      <w:r>
        <w:rPr>
          <w:rFonts w:ascii="Times New Roman" w:hAnsi="Times New Roman" w:eastAsia="Times New Roman"/>
          <w:b w:val="0"/>
          <w:i w:val="0"/>
          <w:sz w:val="26"/>
        </w:rPr>
        <w:t xml:space="preserve"> concludes with limitations and future directions.</w:t>
      </w:r>
    </w:p>
    <w:p>
      <w:r>
        <w:br w:type="page"/>
      </w:r>
    </w:p>
    <w:p>
      <w:pPr>
        <w:spacing w:before="360" w:after="120" w:line="360" w:lineRule="auto"/>
        <w:jc w:val="left"/>
        <w:outlineLvl w:val="0"/>
      </w:pPr>
      <w:r>
        <w:rPr>
          <w:rFonts w:ascii="Times New Roman" w:hAnsi="Times New Roman" w:eastAsia="Times New Roman"/>
          <w:b/>
          <w:i w:val="0"/>
          <w:color w:val="000000"/>
          <w:sz w:val="32"/>
        </w:rPr>
        <w:t>2. Literature Review</w:t>
      </w:r>
    </w:p>
    <w:p>
      <w:pPr>
        <w:spacing w:after="120" w:before="0" w:line="360" w:lineRule="auto"/>
        <w:ind w:firstLine="720"/>
        <w:jc w:val="both"/>
      </w:pPr>
      <w:r>
        <w:rPr>
          <w:rFonts w:ascii="Times New Roman" w:hAnsi="Times New Roman" w:eastAsia="Times New Roman"/>
          <w:b w:val="0"/>
          <w:i w:val="0"/>
          <w:sz w:val="26"/>
        </w:rPr>
        <w:t>This chapter reviews the theoretical and empirical foundations that inform the design of QuantVN Strategy Forge. The review covers quantitative finance theory, trading strategy evaluation, risk management, AI-assisted financial analysis, and the current landscape of retail investor tools.</w:t>
      </w:r>
    </w:p>
    <w:p>
      <w:pPr>
        <w:spacing w:before="240" w:after="120" w:line="360" w:lineRule="auto"/>
        <w:jc w:val="left"/>
        <w:outlineLvl w:val="1"/>
      </w:pPr>
      <w:r>
        <w:rPr>
          <w:rFonts w:ascii="Times New Roman" w:hAnsi="Times New Roman" w:eastAsia="Times New Roman"/>
          <w:b/>
          <w:i w:val="0"/>
          <w:color w:val="000000"/>
          <w:sz w:val="28"/>
        </w:rPr>
        <w:t>2.1 Portfolio Theory and Market Efficiency</w:t>
      </w:r>
    </w:p>
    <w:p>
      <w:pPr>
        <w:spacing w:after="120" w:before="0" w:line="360" w:lineRule="auto"/>
        <w:ind w:firstLine="720"/>
        <w:jc w:val="both"/>
      </w:pPr>
      <w:r>
        <w:rPr>
          <w:rFonts w:ascii="Times New Roman" w:hAnsi="Times New Roman" w:eastAsia="Times New Roman"/>
          <w:b w:val="0"/>
          <w:i w:val="0"/>
          <w:sz w:val="26"/>
        </w:rPr>
        <w:t>Modern Portfolio Theory (MPT), introduced by Markowitz (1952), established that investors should evaluate portfolios based on their expected return and risk (measured by variance) rather than analysing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pPr>
        <w:spacing w:after="120" w:before="0" w:line="360" w:lineRule="auto"/>
        <w:ind w:firstLine="720"/>
        <w:jc w:val="both"/>
      </w:pPr>
      <w:r>
        <w:rPr>
          <w:rFonts w:ascii="Times New Roman" w:hAnsi="Times New Roman" w:eastAsia="Times New Roman"/>
          <w:b w:val="0"/>
          <w:i w:val="0"/>
          <w:sz w:val="26"/>
        </w:rPr>
        <w:t>The Efficient Market Hypothesis (EMH) formalised three forms of market efficiency — weak, semi-strong, and strong —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pPr>
        <w:spacing w:after="120" w:before="0" w:line="360" w:lineRule="auto"/>
        <w:ind w:firstLine="720"/>
        <w:jc w:val="both"/>
      </w:pPr>
      <w:r>
        <w:rPr>
          <w:rFonts w:ascii="Times New Roman" w:hAnsi="Times New Roman" w:eastAsia="Times New Roman"/>
          <w:b w:val="0"/>
          <w:i w:val="0"/>
          <w:sz w:val="26"/>
        </w:rPr>
        <w:t>For the Vietnamese market, studies on HOSE market efficiency suggest that the market exhibits characteristics of weak-form efficiency with periodic inefficiencies, particularly around information disclosure events and policy changes (Truong et al., 2010). Given these dynamics, tools that help investors evaluate strategies systematically — rather than relying on informal judgment — have clear value.</w:t>
      </w:r>
    </w:p>
    <w:p>
      <w:pPr>
        <w:spacing w:before="240" w:after="120" w:line="360" w:lineRule="auto"/>
        <w:jc w:val="left"/>
        <w:outlineLvl w:val="1"/>
      </w:pPr>
      <w:r>
        <w:rPr>
          <w:rFonts w:ascii="Times New Roman" w:hAnsi="Times New Roman" w:eastAsia="Times New Roman"/>
          <w:b/>
          <w:i w:val="0"/>
          <w:color w:val="000000"/>
          <w:sz w:val="28"/>
        </w:rPr>
        <w:t>2.2 Factor Models and Empirical Anomalies</w:t>
      </w:r>
    </w:p>
    <w:p>
      <w:pPr>
        <w:spacing w:after="120" w:before="0" w:line="360" w:lineRule="auto"/>
        <w:ind w:firstLine="720"/>
        <w:jc w:val="both"/>
      </w:pPr>
      <w:r>
        <w:rPr>
          <w:rFonts w:ascii="Times New Roman" w:hAnsi="Times New Roman" w:eastAsia="Times New Roman"/>
          <w:b w:val="0"/>
          <w:i w:val="0"/>
          <w:sz w:val="26"/>
        </w:rPr>
        <w:t>Beyond market beta, empirical research has identified systematic factors that explain cross-sectional return variation. The Fama-French three-factor model added size (SMB) and value (HML) as explanatory factors (Fama &amp; French, 1993), later extended to five factors including profitability and investment (Fama &amp; French, 2015). Momentum — the tendency of recent winners to continue outperforming — has been documented as one of the most robust anomalies (Jegadeesh &amp; Titman, 1993).</w:t>
      </w:r>
    </w:p>
    <w:p>
      <w:pPr>
        <w:spacing w:after="120" w:before="0" w:line="360" w:lineRule="auto"/>
        <w:ind w:firstLine="720"/>
        <w:jc w:val="both"/>
      </w:pPr>
      <w:r>
        <w:rPr>
          <w:rFonts w:ascii="Times New Roman" w:hAnsi="Times New Roman" w:eastAsia="Times New Roman"/>
          <w:b w:val="0"/>
          <w:i w:val="0"/>
          <w:sz w:val="26"/>
        </w:rPr>
        <w:t>Harvey, Liu, and Zhu (2016), however, warned that a large portion of published factors do not survive proper multiple-testing corrections. Their work is a reminder of how easily data mining can produce spurious results in quantitative finance — and why any tool that presents factor analysis should do so with appropriate caveats.</w:t>
      </w:r>
    </w:p>
    <w:p>
      <w:pPr>
        <w:spacing w:before="240" w:after="120" w:line="360" w:lineRule="auto"/>
        <w:jc w:val="left"/>
        <w:outlineLvl w:val="1"/>
      </w:pPr>
      <w:r>
        <w:rPr>
          <w:rFonts w:ascii="Times New Roman" w:hAnsi="Times New Roman" w:eastAsia="Times New Roman"/>
          <w:b/>
          <w:i w:val="0"/>
          <w:color w:val="000000"/>
          <w:sz w:val="28"/>
        </w:rPr>
        <w:t>2.3 Trading Strategy Design and Backtesting</w:t>
      </w:r>
    </w:p>
    <w:p>
      <w:pPr>
        <w:spacing w:after="120" w:before="0" w:line="360" w:lineRule="auto"/>
        <w:ind w:firstLine="720"/>
        <w:jc w:val="both"/>
      </w:pPr>
      <w:r>
        <w:rPr>
          <w:rFonts w:ascii="Times New Roman" w:hAnsi="Times New Roman" w:eastAsia="Times New Roman"/>
          <w:b w:val="0"/>
          <w:i w:val="0"/>
          <w:sz w:val="26"/>
        </w:rPr>
        <w:t>Technical indicators — such as moving averages (SMA, EMA), the Relative Strength Index (RSI), Moving Average Convergence Divergence (MACD), and Bollinger Bands — transform price data into signals used for systematic trading strategies. While individual indicators have limited predictive power, they provide a structured framework for strategy design that can be evaluated through backtesting (Murphy, 1999).</w:t>
      </w:r>
    </w:p>
    <w:p>
      <w:pPr>
        <w:spacing w:after="120" w:before="0" w:line="360" w:lineRule="auto"/>
        <w:ind w:firstLine="720"/>
        <w:jc w:val="both"/>
      </w:pPr>
      <w:r>
        <w:rPr>
          <w:rFonts w:ascii="Times New Roman" w:hAnsi="Times New Roman" w:eastAsia="Times New Roman"/>
          <w:b w:val="0"/>
          <w:i w:val="0"/>
          <w:sz w:val="26"/>
        </w:rPr>
        <w:t>Backtesting — the historical simulation of trading strategies — is the primary tool for evaluating strategy ideas but is also the primary source of misleading evidence. Bailey, Borwein, López de Prado, and Zhu (2016) identified multiple sources of backtest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pPr>
        <w:spacing w:after="120" w:before="0" w:line="360" w:lineRule="auto"/>
        <w:ind w:firstLine="720"/>
        <w:jc w:val="both"/>
      </w:pPr>
      <w:r>
        <w:rPr>
          <w:rFonts w:ascii="Times New Roman" w:hAnsi="Times New Roman" w:eastAsia="Times New Roman"/>
          <w:b w:val="0"/>
          <w:i w:val="0"/>
          <w:sz w:val="26"/>
        </w:rPr>
        <w:t>These well-documented pitfalls are the reason why the backtesting engine in this thesis makes execution timing, transaction costs, and data quality assumptions visible to users by default rather than hiding them.</w:t>
      </w:r>
    </w:p>
    <w:p>
      <w:pPr>
        <w:spacing w:before="240" w:after="120" w:line="360" w:lineRule="auto"/>
        <w:jc w:val="left"/>
        <w:outlineLvl w:val="1"/>
      </w:pPr>
      <w:r>
        <w:rPr>
          <w:rFonts w:ascii="Times New Roman" w:hAnsi="Times New Roman" w:eastAsia="Times New Roman"/>
          <w:b/>
          <w:i w:val="0"/>
          <w:color w:val="000000"/>
          <w:sz w:val="28"/>
        </w:rPr>
        <w:t>2.4 Risk Measurement</w:t>
      </w:r>
    </w:p>
    <w:p>
      <w:pPr>
        <w:spacing w:after="120" w:before="0" w:line="360" w:lineRule="auto"/>
        <w:ind w:firstLine="720"/>
        <w:jc w:val="both"/>
      </w:pPr>
      <w:r>
        <w:rPr>
          <w:rFonts w:ascii="Times New Roman" w:hAnsi="Times New Roman" w:eastAsia="Times New Roman"/>
          <w:b w:val="0"/>
          <w:i w:val="0"/>
          <w:sz w:val="26"/>
        </w:rPr>
        <w:t>Portfolio risk assessment uses complementary measures across different dimensions. Variance-based measures (volatility, beta) capture return dispersion, while tail-risk measures — Value at Risk (VaR) and Conditional VaR (CVaR, also called Expected Shortfall) — quantify potential losses in adverse scenarios (Artzner et al., 1999; Rockafellar &amp; Uryasev, 2000). Drawdown analysis measures peak-to-trough capital decline, providing an intuitive measure of investment risk.</w:t>
      </w:r>
    </w:p>
    <w:p>
      <w:pPr>
        <w:spacing w:after="120" w:before="0" w:line="360" w:lineRule="auto"/>
        <w:ind w:firstLine="720"/>
        <w:jc w:val="both"/>
      </w:pPr>
      <w:r>
        <w:rPr>
          <w:rFonts w:ascii="Times New Roman" w:hAnsi="Times New Roman" w:eastAsia="Times New Roman"/>
          <w:b w:val="0"/>
          <w:i w:val="0"/>
          <w:sz w:val="26"/>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pPr>
        <w:spacing w:before="240" w:after="120" w:line="360" w:lineRule="auto"/>
        <w:jc w:val="left"/>
        <w:outlineLvl w:val="1"/>
      </w:pPr>
      <w:r>
        <w:rPr>
          <w:rFonts w:ascii="Times New Roman" w:hAnsi="Times New Roman" w:eastAsia="Times New Roman"/>
          <w:b/>
          <w:i w:val="0"/>
          <w:color w:val="000000"/>
          <w:sz w:val="28"/>
        </w:rPr>
        <w:t>2.5 AI Assistants and Retrieval-Augmented Generation</w:t>
      </w:r>
    </w:p>
    <w:p>
      <w:pPr>
        <w:spacing w:after="120" w:before="0" w:line="360" w:lineRule="auto"/>
        <w:ind w:firstLine="720"/>
        <w:jc w:val="both"/>
      </w:pPr>
      <w:r>
        <w:rPr>
          <w:rFonts w:ascii="Times New Roman" w:hAnsi="Times New Roman" w:eastAsia="Times New Roman"/>
          <w:b w:val="0"/>
          <w:i w:val="0"/>
          <w:sz w:val="26"/>
        </w:rPr>
        <w:t>Large language models (LLMs) have shown strong natural language capabilities, which makes them interesting as conversational interfaces for financial tools. But they hallucinate — they generate text that sounds correct but isn't (Lin et al., 2022). In finance, hallucinated numbers about stock returns or risk metrics could directly mislead an investor's decisions.</w:t>
      </w:r>
    </w:p>
    <w:p>
      <w:pPr>
        <w:spacing w:after="120" w:before="0" w:line="360" w:lineRule="auto"/>
        <w:ind w:firstLine="720"/>
        <w:jc w:val="both"/>
      </w:pPr>
      <w:r>
        <w:rPr>
          <w:rFonts w:ascii="Times New Roman" w:hAnsi="Times New Roman" w:eastAsia="Times New Roman"/>
          <w:b w:val="0"/>
          <w:i w:val="0"/>
          <w:sz w:val="26"/>
        </w:rPr>
        <w:t>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BloombergGPT (Wu et al., 2023) and FinGPT (Yang et al., 2023) show that financial domain training improves NLP tasks, but does not eliminate hallucination for specific numeric claims.</w:t>
      </w:r>
    </w:p>
    <w:p>
      <w:pPr>
        <w:spacing w:after="120" w:before="0" w:line="360" w:lineRule="auto"/>
        <w:ind w:firstLine="720"/>
        <w:jc w:val="both"/>
      </w:pPr>
      <w:r>
        <w:rPr>
          <w:rFonts w:ascii="Times New Roman" w:hAnsi="Times New Roman" w:eastAsia="Times New Roman"/>
          <w:b w:val="0"/>
          <w:i w:val="0"/>
          <w:sz w:val="26"/>
        </w:rPr>
        <w:t>Evaluating whether a response is actually reliable requires going beyond surface-level checks. Min et al. (2023) proposed breaking responses into atomic claims and verifying each one individually. Rajpurkar et al. (2018) made the case that a system should know when it cannot answer — that abstention is better than fabrication.</w:t>
      </w:r>
    </w:p>
    <w:p>
      <w:pPr>
        <w:spacing w:before="240" w:after="120" w:line="360" w:lineRule="auto"/>
        <w:jc w:val="left"/>
        <w:outlineLvl w:val="1"/>
      </w:pPr>
      <w:r>
        <w:rPr>
          <w:rFonts w:ascii="Times New Roman" w:hAnsi="Times New Roman" w:eastAsia="Times New Roman"/>
          <w:b/>
          <w:i w:val="0"/>
          <w:color w:val="000000"/>
          <w:sz w:val="28"/>
        </w:rPr>
        <w:t>2.6 Fintech Platforms for Retail Investors in Vietnam</w:t>
      </w:r>
    </w:p>
    <w:p>
      <w:pPr>
        <w:spacing w:after="120" w:before="0" w:line="360" w:lineRule="auto"/>
        <w:ind w:firstLine="720"/>
        <w:jc w:val="both"/>
      </w:pPr>
      <w:r>
        <w:rPr>
          <w:rFonts w:ascii="Times New Roman" w:hAnsi="Times New Roman" w:eastAsia="Times New Roman"/>
          <w:b w:val="0"/>
          <w:i w:val="0"/>
          <w:sz w:val="26"/>
        </w:rPr>
        <w:t>The Vietnamese fintech landscape for equity investors is growing but fragmented. The primary digital tools are brokerage-integrated platforms from major securities companies — TCBS (TCBS, n.d.), SSI iBoard (SSI, n.d.), and VNDirect (VNDirect, n.d.) — which provide charting, order execution, and basic screening but lack quantitative analysis capabilities such as strategy backtesting, portfolio optimisation, or risk measurement.</w:t>
      </w:r>
    </w:p>
    <w:p>
      <w:pPr>
        <w:spacing w:after="120" w:before="0" w:line="360" w:lineRule="auto"/>
        <w:ind w:firstLine="720"/>
        <w:jc w:val="both"/>
      </w:pPr>
      <w:r>
        <w:rPr>
          <w:rFonts w:ascii="Times New Roman" w:hAnsi="Times New Roman" w:eastAsia="Times New Roman"/>
          <w:b w:val="0"/>
          <w:i w:val="0"/>
          <w:sz w:val="26"/>
        </w:rPr>
        <w:t>Several specialised Vietnamese platforms have emerged. Algotrade offers fully automated algorithmic trading with tick-by-tick data and API integration via SSI, targeting professional and institutional investors (Algotrade, n.d.). Miquant provides AI-powered quantitative analysis including automated stock valuation, AI chatbot, sentiment analysis, and AI-driven stock ranking (Miquant, n.d.). However, neither platform offers user-driven strategy backtesting with transparent cost assumptions, nor do they provide portfolio optimisation or factor analysis tools accessible to retail investors.</w:t>
      </w:r>
    </w:p>
    <w:p>
      <w:pPr>
        <w:spacing w:after="120" w:before="0" w:line="360" w:lineRule="auto"/>
        <w:ind w:firstLine="720"/>
        <w:jc w:val="both"/>
      </w:pPr>
      <w:r>
        <w:rPr>
          <w:rFonts w:ascii="Times New Roman" w:hAnsi="Times New Roman" w:eastAsia="Times New Roman"/>
          <w:b w:val="0"/>
          <w:i w:val="0"/>
          <w:sz w:val="26"/>
        </w:rPr>
        <w:t>Internationally, TradingView is the most widely used charting platform among Vietnamese retail investors, offering advanced technical analysis with partial HOSE data support but no backtesting with Vietnamese market conventions such as transaction costs, price limits, and settlement cycle (TradingView, n.d.).</w:t>
      </w:r>
    </w:p>
    <w:p>
      <w:pPr>
        <w:spacing w:after="120" w:before="0" w:line="360" w:lineRule="auto"/>
        <w:ind w:firstLine="720"/>
        <w:jc w:val="both"/>
      </w:pP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_Table_2_1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Table 2.1</w:t>
      </w:r>
      <w:r>
        <w:rPr>
          <w:rFonts w:ascii="Times New Roman" w:hAnsi="Times New Roman" w:eastAsia="Times New Roman"/>
          <w:b w:val="0"/>
          <w:i w:val="0"/>
          <w:sz w:val="26"/>
        </w:rPr>
        <w:fldChar w:fldCharType="end"/>
      </w:r>
      <w:r>
        <w:rPr>
          <w:rFonts w:ascii="Times New Roman" w:hAnsi="Times New Roman" w:eastAsia="Times New Roman"/>
          <w:b w:val="0"/>
          <w:i w:val="0"/>
          <w:sz w:val="26"/>
        </w:rPr>
        <w:t xml:space="preserve"> summarises the feature gap that motivates QuantVN Strategy Forge.</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12"/>
        <w:gridCol w:w="1512"/>
        <w:gridCol w:w="1512"/>
        <w:gridCol w:w="1512"/>
        <w:gridCol w:w="1512"/>
        <w:gridCol w:w="1512"/>
      </w:tblGrid>
      <w:tr>
        <w:tc>
          <w:tcPr>
            <w:tcW w:type="dxa" w:w="1512"/>
            <w:shd w:fill="D9E2F3" w:val="clear"/>
          </w:tcPr>
          <w:p>
            <w:pPr>
              <w:jc w:val="center"/>
            </w:pPr>
            <w:r/>
            <w:r>
              <w:rPr>
                <w:rFonts w:ascii="Times New Roman" w:hAnsi="Times New Roman" w:eastAsia="Times New Roman"/>
                <w:b/>
                <w:i w:val="0"/>
                <w:sz w:val="22"/>
              </w:rPr>
              <w:t>Feature</w:t>
            </w:r>
          </w:p>
        </w:tc>
        <w:tc>
          <w:tcPr>
            <w:tcW w:type="dxa" w:w="1512"/>
            <w:shd w:fill="D9E2F3" w:val="clear"/>
          </w:tcPr>
          <w:p>
            <w:pPr>
              <w:jc w:val="center"/>
            </w:pPr>
            <w:r/>
            <w:r>
              <w:rPr>
                <w:rFonts w:ascii="Times New Roman" w:hAnsi="Times New Roman" w:eastAsia="Times New Roman"/>
                <w:b/>
                <w:i w:val="0"/>
                <w:sz w:val="22"/>
              </w:rPr>
              <w:t>TCBS / SSI</w:t>
            </w:r>
          </w:p>
        </w:tc>
        <w:tc>
          <w:tcPr>
            <w:tcW w:type="dxa" w:w="1512"/>
            <w:shd w:fill="D9E2F3" w:val="clear"/>
          </w:tcPr>
          <w:p>
            <w:pPr>
              <w:jc w:val="center"/>
            </w:pPr>
            <w:r/>
            <w:r>
              <w:rPr>
                <w:rFonts w:ascii="Times New Roman" w:hAnsi="Times New Roman" w:eastAsia="Times New Roman"/>
                <w:b/>
                <w:i w:val="0"/>
                <w:sz w:val="22"/>
              </w:rPr>
              <w:t>Algotrade</w:t>
            </w:r>
          </w:p>
        </w:tc>
        <w:tc>
          <w:tcPr>
            <w:tcW w:type="dxa" w:w="1512"/>
            <w:shd w:fill="D9E2F3" w:val="clear"/>
          </w:tcPr>
          <w:p>
            <w:pPr>
              <w:jc w:val="center"/>
            </w:pPr>
            <w:r/>
            <w:r>
              <w:rPr>
                <w:rFonts w:ascii="Times New Roman" w:hAnsi="Times New Roman" w:eastAsia="Times New Roman"/>
                <w:b/>
                <w:i w:val="0"/>
                <w:sz w:val="22"/>
              </w:rPr>
              <w:t>Miquant</w:t>
            </w:r>
          </w:p>
        </w:tc>
        <w:tc>
          <w:tcPr>
            <w:tcW w:type="dxa" w:w="1512"/>
            <w:shd w:fill="D9E2F3" w:val="clear"/>
          </w:tcPr>
          <w:p>
            <w:pPr>
              <w:jc w:val="center"/>
            </w:pPr>
            <w:r/>
            <w:r>
              <w:rPr>
                <w:rFonts w:ascii="Times New Roman" w:hAnsi="Times New Roman" w:eastAsia="Times New Roman"/>
                <w:b/>
                <w:i w:val="0"/>
                <w:sz w:val="22"/>
              </w:rPr>
              <w:t>TradingView</w:t>
            </w:r>
          </w:p>
        </w:tc>
        <w:tc>
          <w:tcPr>
            <w:tcW w:type="dxa" w:w="1512"/>
            <w:shd w:fill="D9E2F3" w:val="clear"/>
          </w:tcPr>
          <w:p>
            <w:pPr>
              <w:jc w:val="center"/>
            </w:pPr>
            <w:r/>
            <w:r>
              <w:rPr>
                <w:rFonts w:ascii="Times New Roman" w:hAnsi="Times New Roman" w:eastAsia="Times New Roman"/>
                <w:b/>
                <w:i w:val="0"/>
                <w:sz w:val="22"/>
              </w:rPr>
              <w:t>**QuantVN**</w:t>
            </w:r>
          </w:p>
        </w:tc>
      </w:tr>
      <w:tr>
        <w:tc>
          <w:tcPr>
            <w:tcW w:type="dxa" w:w="1512"/>
          </w:tcPr>
          <w:p>
            <w:pPr>
              <w:jc w:val="left"/>
            </w:pPr>
            <w:r/>
            <w:r>
              <w:rPr>
                <w:rFonts w:ascii="Times New Roman" w:hAnsi="Times New Roman" w:eastAsia="Times New Roman"/>
                <w:b w:val="0"/>
                <w:i w:val="0"/>
                <w:sz w:val="22"/>
              </w:rPr>
              <w:t>HOSE data</w:t>
            </w:r>
          </w:p>
        </w:tc>
        <w:tc>
          <w:tcPr>
            <w:tcW w:type="dxa" w:w="1512"/>
          </w:tcPr>
          <w:p>
            <w:pPr>
              <w:jc w:val="left"/>
            </w:pPr>
            <w:r/>
            <w:r>
              <w:rPr>
                <w:rFonts w:ascii="Times New Roman" w:hAnsi="Times New Roman" w:eastAsia="Times New Roman"/>
                <w:b w:val="0"/>
                <w:i w:val="0"/>
                <w:sz w:val="22"/>
              </w:rPr>
              <w:t>Yes</w:t>
            </w:r>
          </w:p>
        </w:tc>
        <w:tc>
          <w:tcPr>
            <w:tcW w:type="dxa" w:w="1512"/>
          </w:tcPr>
          <w:p>
            <w:pPr>
              <w:jc w:val="left"/>
            </w:pPr>
            <w:r/>
            <w:r>
              <w:rPr>
                <w:rFonts w:ascii="Times New Roman" w:hAnsi="Times New Roman" w:eastAsia="Times New Roman"/>
                <w:b w:val="0"/>
                <w:i w:val="0"/>
                <w:sz w:val="22"/>
              </w:rPr>
              <w:t>Yes</w:t>
            </w:r>
          </w:p>
        </w:tc>
        <w:tc>
          <w:tcPr>
            <w:tcW w:type="dxa" w:w="1512"/>
          </w:tcPr>
          <w:p>
            <w:pPr>
              <w:jc w:val="left"/>
            </w:pPr>
            <w:r/>
            <w:r>
              <w:rPr>
                <w:rFonts w:ascii="Times New Roman" w:hAnsi="Times New Roman" w:eastAsia="Times New Roman"/>
                <w:b w:val="0"/>
                <w:i w:val="0"/>
                <w:sz w:val="22"/>
              </w:rPr>
              <w:t>Yes</w:t>
            </w:r>
          </w:p>
        </w:tc>
        <w:tc>
          <w:tcPr>
            <w:tcW w:type="dxa" w:w="1512"/>
          </w:tcPr>
          <w:p>
            <w:pPr>
              <w:jc w:val="left"/>
            </w:pPr>
            <w:r/>
            <w:r>
              <w:rPr>
                <w:rFonts w:ascii="Times New Roman" w:hAnsi="Times New Roman" w:eastAsia="Times New Roman"/>
                <w:b w:val="0"/>
                <w:i w:val="0"/>
                <w:sz w:val="22"/>
              </w:rPr>
              <w:t>Partial</w:t>
            </w:r>
          </w:p>
        </w:tc>
        <w:tc>
          <w:tcPr>
            <w:tcW w:type="dxa" w:w="1512"/>
          </w:tcPr>
          <w:p>
            <w:pPr>
              <w:jc w:val="left"/>
            </w:pPr>
            <w:r/>
            <w:r>
              <w:rPr>
                <w:rFonts w:ascii="Times New Roman" w:hAnsi="Times New Roman" w:eastAsia="Times New Roman"/>
                <w:b w:val="0"/>
                <w:i w:val="0"/>
                <w:sz w:val="22"/>
              </w:rPr>
              <w:t>Yes</w:t>
            </w:r>
          </w:p>
        </w:tc>
      </w:tr>
      <w:tr>
        <w:tc>
          <w:tcPr>
            <w:tcW w:type="dxa" w:w="1512"/>
          </w:tcPr>
          <w:p>
            <w:pPr>
              <w:jc w:val="left"/>
            </w:pPr>
            <w:r/>
            <w:r>
              <w:rPr>
                <w:rFonts w:ascii="Times New Roman" w:hAnsi="Times New Roman" w:eastAsia="Times New Roman"/>
                <w:b w:val="0"/>
                <w:i w:val="0"/>
                <w:sz w:val="22"/>
              </w:rPr>
              <w:t>Charting + indicators</w:t>
            </w:r>
          </w:p>
        </w:tc>
        <w:tc>
          <w:tcPr>
            <w:tcW w:type="dxa" w:w="1512"/>
          </w:tcPr>
          <w:p>
            <w:pPr>
              <w:jc w:val="left"/>
            </w:pPr>
            <w:r/>
            <w:r>
              <w:rPr>
                <w:rFonts w:ascii="Times New Roman" w:hAnsi="Times New Roman" w:eastAsia="Times New Roman"/>
                <w:b w:val="0"/>
                <w:i w:val="0"/>
                <w:sz w:val="22"/>
              </w:rPr>
              <w:t>Yes</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Yes</w:t>
            </w:r>
          </w:p>
        </w:tc>
        <w:tc>
          <w:tcPr>
            <w:tcW w:type="dxa" w:w="1512"/>
          </w:tcPr>
          <w:p>
            <w:pPr>
              <w:jc w:val="left"/>
            </w:pPr>
            <w:r/>
            <w:r>
              <w:rPr>
                <w:rFonts w:ascii="Times New Roman" w:hAnsi="Times New Roman" w:eastAsia="Times New Roman"/>
                <w:b w:val="0"/>
                <w:i w:val="0"/>
                <w:sz w:val="22"/>
              </w:rPr>
              <w:t>Yes</w:t>
            </w:r>
          </w:p>
        </w:tc>
      </w:tr>
      <w:tr>
        <w:tc>
          <w:tcPr>
            <w:tcW w:type="dxa" w:w="1512"/>
          </w:tcPr>
          <w:p>
            <w:pPr>
              <w:jc w:val="left"/>
            </w:pPr>
            <w:r/>
            <w:r>
              <w:rPr>
                <w:rFonts w:ascii="Times New Roman" w:hAnsi="Times New Roman" w:eastAsia="Times New Roman"/>
                <w:b w:val="0"/>
                <w:i w:val="0"/>
                <w:sz w:val="22"/>
              </w:rPr>
              <w:t>Stock screening</w:t>
            </w:r>
          </w:p>
        </w:tc>
        <w:tc>
          <w:tcPr>
            <w:tcW w:type="dxa" w:w="1512"/>
          </w:tcPr>
          <w:p>
            <w:pPr>
              <w:jc w:val="left"/>
            </w:pPr>
            <w:r/>
            <w:r>
              <w:rPr>
                <w:rFonts w:ascii="Times New Roman" w:hAnsi="Times New Roman" w:eastAsia="Times New Roman"/>
                <w:b w:val="0"/>
                <w:i w:val="0"/>
                <w:sz w:val="22"/>
              </w:rPr>
              <w:t>Basic filters</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AI-ranked</w:t>
            </w:r>
          </w:p>
        </w:tc>
        <w:tc>
          <w:tcPr>
            <w:tcW w:type="dxa" w:w="1512"/>
          </w:tcPr>
          <w:p>
            <w:pPr>
              <w:jc w:val="left"/>
            </w:pPr>
            <w:r/>
            <w:r>
              <w:rPr>
                <w:rFonts w:ascii="Times New Roman" w:hAnsi="Times New Roman" w:eastAsia="Times New Roman"/>
                <w:b w:val="0"/>
                <w:i w:val="0"/>
                <w:sz w:val="22"/>
              </w:rPr>
              <w:t>Yes</w:t>
            </w:r>
          </w:p>
        </w:tc>
        <w:tc>
          <w:tcPr>
            <w:tcW w:type="dxa" w:w="1512"/>
          </w:tcPr>
          <w:p>
            <w:pPr>
              <w:jc w:val="left"/>
            </w:pPr>
            <w:r/>
            <w:r>
              <w:rPr>
                <w:rFonts w:ascii="Times New Roman" w:hAnsi="Times New Roman" w:eastAsia="Times New Roman"/>
                <w:b w:val="0"/>
                <w:i w:val="0"/>
                <w:sz w:val="22"/>
              </w:rPr>
              <w:t>Multi-criteria</w:t>
            </w:r>
          </w:p>
        </w:tc>
      </w:tr>
      <w:tr>
        <w:tc>
          <w:tcPr>
            <w:tcW w:type="dxa" w:w="1512"/>
          </w:tcPr>
          <w:p>
            <w:pPr>
              <w:jc w:val="left"/>
            </w:pPr>
            <w:r/>
            <w:r>
              <w:rPr>
                <w:rFonts w:ascii="Times New Roman" w:hAnsi="Times New Roman" w:eastAsia="Times New Roman"/>
                <w:b w:val="0"/>
                <w:i w:val="0"/>
                <w:sz w:val="22"/>
              </w:rPr>
              <w:t>Strategy backtesting</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Automated only</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Limited</w:t>
            </w:r>
          </w:p>
        </w:tc>
        <w:tc>
          <w:tcPr>
            <w:tcW w:type="dxa" w:w="1512"/>
          </w:tcPr>
          <w:p>
            <w:pPr>
              <w:jc w:val="left"/>
            </w:pPr>
            <w:r/>
            <w:r>
              <w:rPr>
                <w:rFonts w:ascii="Times New Roman" w:hAnsi="Times New Roman" w:eastAsia="Times New Roman"/>
                <w:b w:val="0"/>
                <w:i w:val="0"/>
                <w:sz w:val="22"/>
              </w:rPr>
              <w:t>Yes (5 types)</w:t>
            </w:r>
          </w:p>
        </w:tc>
      </w:tr>
      <w:tr>
        <w:tc>
          <w:tcPr>
            <w:tcW w:type="dxa" w:w="1512"/>
          </w:tcPr>
          <w:p>
            <w:pPr>
              <w:jc w:val="left"/>
            </w:pPr>
            <w:r/>
            <w:r>
              <w:rPr>
                <w:rFonts w:ascii="Times New Roman" w:hAnsi="Times New Roman" w:eastAsia="Times New Roman"/>
                <w:b w:val="0"/>
                <w:i w:val="0"/>
                <w:sz w:val="22"/>
              </w:rPr>
              <w:t>No-code strategy builder</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Yes (visual)</w:t>
            </w:r>
          </w:p>
        </w:tc>
      </w:tr>
      <w:tr>
        <w:tc>
          <w:tcPr>
            <w:tcW w:type="dxa" w:w="1512"/>
          </w:tcPr>
          <w:p>
            <w:pPr>
              <w:jc w:val="left"/>
            </w:pPr>
            <w:r/>
            <w:r>
              <w:rPr>
                <w:rFonts w:ascii="Times New Roman" w:hAnsi="Times New Roman" w:eastAsia="Times New Roman"/>
                <w:b w:val="0"/>
                <w:i w:val="0"/>
                <w:sz w:val="22"/>
              </w:rPr>
              <w:t>Portfolio optimisation</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Yes (4 methods)</w:t>
            </w:r>
          </w:p>
        </w:tc>
      </w:tr>
      <w:tr>
        <w:tc>
          <w:tcPr>
            <w:tcW w:type="dxa" w:w="1512"/>
          </w:tcPr>
          <w:p>
            <w:pPr>
              <w:jc w:val="left"/>
            </w:pPr>
            <w:r/>
            <w:r>
              <w:rPr>
                <w:rFonts w:ascii="Times New Roman" w:hAnsi="Times New Roman" w:eastAsia="Times New Roman"/>
                <w:b w:val="0"/>
                <w:i w:val="0"/>
                <w:sz w:val="22"/>
              </w:rPr>
              <w:t>Risk analytics (VaR/CVaR)</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Yes</w:t>
            </w:r>
          </w:p>
        </w:tc>
      </w:tr>
      <w:tr>
        <w:tc>
          <w:tcPr>
            <w:tcW w:type="dxa" w:w="1512"/>
          </w:tcPr>
          <w:p>
            <w:pPr>
              <w:jc w:val="left"/>
            </w:pPr>
            <w:r/>
            <w:r>
              <w:rPr>
                <w:rFonts w:ascii="Times New Roman" w:hAnsi="Times New Roman" w:eastAsia="Times New Roman"/>
                <w:b w:val="0"/>
                <w:i w:val="0"/>
                <w:sz w:val="22"/>
              </w:rPr>
              <w:t>Factor analysis</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Yes</w:t>
            </w:r>
          </w:p>
        </w:tc>
      </w:tr>
      <w:tr>
        <w:tc>
          <w:tcPr>
            <w:tcW w:type="dxa" w:w="1512"/>
          </w:tcPr>
          <w:p>
            <w:pPr>
              <w:jc w:val="left"/>
            </w:pPr>
            <w:r/>
            <w:r>
              <w:rPr>
                <w:rFonts w:ascii="Times New Roman" w:hAnsi="Times New Roman" w:eastAsia="Times New Roman"/>
                <w:b w:val="0"/>
                <w:i w:val="0"/>
                <w:sz w:val="22"/>
              </w:rPr>
              <w:t>AI assistant</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Chatbot</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Yes (tool-grounded)</w:t>
            </w:r>
          </w:p>
        </w:tc>
      </w:tr>
      <w:tr>
        <w:tc>
          <w:tcPr>
            <w:tcW w:type="dxa" w:w="1512"/>
          </w:tcPr>
          <w:p>
            <w:pPr>
              <w:jc w:val="left"/>
            </w:pPr>
            <w:r/>
            <w:r>
              <w:rPr>
                <w:rFonts w:ascii="Times New Roman" w:hAnsi="Times New Roman" w:eastAsia="Times New Roman"/>
                <w:b w:val="0"/>
                <w:i w:val="0"/>
                <w:sz w:val="22"/>
              </w:rPr>
              <w:t>Educational content</w:t>
            </w:r>
          </w:p>
        </w:tc>
        <w:tc>
          <w:tcPr>
            <w:tcW w:type="dxa" w:w="1512"/>
          </w:tcPr>
          <w:p>
            <w:pPr>
              <w:jc w:val="left"/>
            </w:pPr>
            <w:r/>
            <w:r>
              <w:rPr>
                <w:rFonts w:ascii="Times New Roman" w:hAnsi="Times New Roman" w:eastAsia="Times New Roman"/>
                <w:b w:val="0"/>
                <w:i w:val="0"/>
                <w:sz w:val="22"/>
              </w:rPr>
              <w:t>—</w:t>
            </w:r>
          </w:p>
        </w:tc>
        <w:tc>
          <w:tcPr>
            <w:tcW w:type="dxa" w:w="1512"/>
          </w:tcPr>
          <w:p>
            <w:pPr>
              <w:jc w:val="left"/>
            </w:pPr>
            <w:r/>
            <w:r>
              <w:rPr>
                <w:rFonts w:ascii="Times New Roman" w:hAnsi="Times New Roman" w:eastAsia="Times New Roman"/>
                <w:b w:val="0"/>
                <w:i w:val="0"/>
                <w:sz w:val="22"/>
              </w:rPr>
              <w:t>No</w:t>
            </w:r>
          </w:p>
        </w:tc>
        <w:tc>
          <w:tcPr>
            <w:tcW w:type="dxa" w:w="1512"/>
          </w:tcPr>
          <w:p>
            <w:pPr>
              <w:jc w:val="left"/>
            </w:pPr>
            <w:r/>
            <w:r>
              <w:rPr>
                <w:rFonts w:ascii="Times New Roman" w:hAnsi="Times New Roman" w:eastAsia="Times New Roman"/>
                <w:b w:val="0"/>
                <w:i w:val="0"/>
                <w:sz w:val="22"/>
              </w:rPr>
              <w:t>—</w:t>
            </w:r>
          </w:p>
        </w:tc>
        <w:tc>
          <w:tcPr>
            <w:tcW w:type="dxa" w:w="1512"/>
          </w:tcPr>
          <w:p>
            <w:pPr>
              <w:jc w:val="left"/>
            </w:pPr>
            <w:r/>
            <w:r>
              <w:rPr>
                <w:rFonts w:ascii="Times New Roman" w:hAnsi="Times New Roman" w:eastAsia="Times New Roman"/>
                <w:b w:val="0"/>
                <w:i w:val="0"/>
                <w:sz w:val="22"/>
              </w:rPr>
              <w:t>Community</w:t>
            </w:r>
          </w:p>
        </w:tc>
        <w:tc>
          <w:tcPr>
            <w:tcW w:type="dxa" w:w="1512"/>
          </w:tcPr>
          <w:p>
            <w:pPr>
              <w:jc w:val="left"/>
            </w:pPr>
            <w:r/>
            <w:r>
              <w:rPr>
                <w:rFonts w:ascii="Times New Roman" w:hAnsi="Times New Roman" w:eastAsia="Times New Roman"/>
                <w:b w:val="0"/>
                <w:i w:val="0"/>
                <w:sz w:val="22"/>
              </w:rPr>
              <w:t>Planned</w:t>
            </w:r>
          </w:p>
        </w:tc>
      </w:tr>
      <w:tr>
        <w:tc>
          <w:tcPr>
            <w:tcW w:type="dxa" w:w="1512"/>
          </w:tcPr>
          <w:p>
            <w:pPr>
              <w:jc w:val="left"/>
            </w:pPr>
            <w:r/>
            <w:r>
              <w:rPr>
                <w:rFonts w:ascii="Times New Roman" w:hAnsi="Times New Roman" w:eastAsia="Times New Roman"/>
                <w:b w:val="0"/>
                <w:i w:val="0"/>
                <w:sz w:val="22"/>
              </w:rPr>
              <w:t>Pricing</w:t>
            </w:r>
          </w:p>
        </w:tc>
        <w:tc>
          <w:tcPr>
            <w:tcW w:type="dxa" w:w="1512"/>
          </w:tcPr>
          <w:p>
            <w:pPr>
              <w:jc w:val="left"/>
            </w:pPr>
            <w:r/>
            <w:r>
              <w:rPr>
                <w:rFonts w:ascii="Times New Roman" w:hAnsi="Times New Roman" w:eastAsia="Times New Roman"/>
                <w:b w:val="0"/>
                <w:i w:val="0"/>
                <w:sz w:val="22"/>
              </w:rPr>
              <w:t>Free</w:t>
            </w:r>
          </w:p>
        </w:tc>
        <w:tc>
          <w:tcPr>
            <w:tcW w:type="dxa" w:w="1512"/>
          </w:tcPr>
          <w:p>
            <w:pPr>
              <w:jc w:val="left"/>
            </w:pPr>
            <w:r/>
            <w:r>
              <w:rPr>
                <w:rFonts w:ascii="Times New Roman" w:hAnsi="Times New Roman" w:eastAsia="Times New Roman"/>
                <w:b w:val="0"/>
                <w:i w:val="0"/>
                <w:sz w:val="22"/>
              </w:rPr>
              <w:t>Paid</w:t>
            </w:r>
          </w:p>
        </w:tc>
        <w:tc>
          <w:tcPr>
            <w:tcW w:type="dxa" w:w="1512"/>
          </w:tcPr>
          <w:p>
            <w:pPr>
              <w:jc w:val="left"/>
            </w:pPr>
            <w:r/>
            <w:r>
              <w:rPr>
                <w:rFonts w:ascii="Times New Roman" w:hAnsi="Times New Roman" w:eastAsia="Times New Roman"/>
                <w:b w:val="0"/>
                <w:i w:val="0"/>
                <w:sz w:val="22"/>
              </w:rPr>
              <w:t>Freemium</w:t>
            </w:r>
          </w:p>
        </w:tc>
        <w:tc>
          <w:tcPr>
            <w:tcW w:type="dxa" w:w="1512"/>
          </w:tcPr>
          <w:p>
            <w:pPr>
              <w:jc w:val="left"/>
            </w:pPr>
            <w:r/>
            <w:r>
              <w:rPr>
                <w:rFonts w:ascii="Times New Roman" w:hAnsi="Times New Roman" w:eastAsia="Times New Roman"/>
                <w:b w:val="0"/>
                <w:i w:val="0"/>
                <w:sz w:val="22"/>
              </w:rPr>
              <w:t>Freemium</w:t>
            </w:r>
          </w:p>
        </w:tc>
        <w:tc>
          <w:tcPr>
            <w:tcW w:type="dxa" w:w="1512"/>
          </w:tcPr>
          <w:p>
            <w:pPr>
              <w:jc w:val="left"/>
            </w:pPr>
            <w:r/>
            <w:r>
              <w:rPr>
                <w:rFonts w:ascii="Times New Roman" w:hAnsi="Times New Roman" w:eastAsia="Times New Roman"/>
                <w:b w:val="0"/>
                <w:i w:val="0"/>
                <w:sz w:val="22"/>
              </w:rPr>
              <w:t>Free</w:t>
            </w:r>
          </w:p>
        </w:tc>
      </w:tr>
      <w:tr>
        <w:tc>
          <w:tcPr>
            <w:tcW w:type="dxa" w:w="1512"/>
          </w:tcPr>
          <w:p>
            <w:pPr>
              <w:jc w:val="left"/>
            </w:pPr>
            <w:r/>
            <w:r>
              <w:rPr>
                <w:rFonts w:ascii="Times New Roman" w:hAnsi="Times New Roman" w:eastAsia="Times New Roman"/>
                <w:b w:val="0"/>
                <w:i w:val="0"/>
                <w:sz w:val="22"/>
              </w:rPr>
              <w:t>Target user</w:t>
            </w:r>
          </w:p>
        </w:tc>
        <w:tc>
          <w:tcPr>
            <w:tcW w:type="dxa" w:w="1512"/>
          </w:tcPr>
          <w:p>
            <w:pPr>
              <w:jc w:val="left"/>
            </w:pPr>
            <w:r/>
            <w:r>
              <w:rPr>
                <w:rFonts w:ascii="Times New Roman" w:hAnsi="Times New Roman" w:eastAsia="Times New Roman"/>
                <w:b w:val="0"/>
                <w:i w:val="0"/>
                <w:sz w:val="22"/>
              </w:rPr>
              <w:t>Retail</w:t>
            </w:r>
          </w:p>
        </w:tc>
        <w:tc>
          <w:tcPr>
            <w:tcW w:type="dxa" w:w="1512"/>
          </w:tcPr>
          <w:p>
            <w:pPr>
              <w:jc w:val="left"/>
            </w:pPr>
            <w:r/>
            <w:r>
              <w:rPr>
                <w:rFonts w:ascii="Times New Roman" w:hAnsi="Times New Roman" w:eastAsia="Times New Roman"/>
                <w:b w:val="0"/>
                <w:i w:val="0"/>
                <w:sz w:val="22"/>
              </w:rPr>
              <w:t>Institutional</w:t>
            </w:r>
          </w:p>
        </w:tc>
        <w:tc>
          <w:tcPr>
            <w:tcW w:type="dxa" w:w="1512"/>
          </w:tcPr>
          <w:p>
            <w:pPr>
              <w:jc w:val="left"/>
            </w:pPr>
            <w:r/>
            <w:r>
              <w:rPr>
                <w:rFonts w:ascii="Times New Roman" w:hAnsi="Times New Roman" w:eastAsia="Times New Roman"/>
                <w:b w:val="0"/>
                <w:i w:val="0"/>
                <w:sz w:val="22"/>
              </w:rPr>
              <w:t>Intermediate+</w:t>
            </w:r>
          </w:p>
        </w:tc>
        <w:tc>
          <w:tcPr>
            <w:tcW w:type="dxa" w:w="1512"/>
          </w:tcPr>
          <w:p>
            <w:pPr>
              <w:jc w:val="left"/>
            </w:pPr>
            <w:r/>
            <w:r>
              <w:rPr>
                <w:rFonts w:ascii="Times New Roman" w:hAnsi="Times New Roman" w:eastAsia="Times New Roman"/>
                <w:b w:val="0"/>
                <w:i w:val="0"/>
                <w:sz w:val="22"/>
              </w:rPr>
              <w:t>All</w:t>
            </w:r>
          </w:p>
        </w:tc>
        <w:tc>
          <w:tcPr>
            <w:tcW w:type="dxa" w:w="1512"/>
          </w:tcPr>
          <w:p>
            <w:pPr>
              <w:jc w:val="left"/>
            </w:pPr>
            <w:r/>
            <w:r>
              <w:rPr>
                <w:rFonts w:ascii="Times New Roman" w:hAnsi="Times New Roman" w:eastAsia="Times New Roman"/>
                <w:b w:val="0"/>
                <w:i w:val="0"/>
                <w:sz w:val="22"/>
              </w:rPr>
              <w:t>Retail + students</w:t>
            </w:r>
          </w:p>
        </w:tc>
      </w:tr>
    </w:tbl>
    <w:p>
      <w:pPr>
        <w:spacing w:after="200" w:before="80" w:line="360" w:lineRule="auto"/>
        <w:jc w:val="center"/>
      </w:pPr>
      <w:bookmarkStart w:id="1" w:name="_Table_2_1"/>
      <w:r>
        <w:rPr>
          <w:rFonts w:ascii="Times New Roman" w:hAnsi="Times New Roman" w:eastAsia="Times New Roman"/>
          <w:b w:val="0"/>
          <w:i/>
          <w:sz w:val="22"/>
        </w:rPr>
        <w:t>Table 2.1: Feature comparison of platforms available to Vietnamese investors.</w:t>
      </w:r>
      <w:bookmarkEnd w:id="1"/>
    </w:p>
    <w:p>
      <w:pPr>
        <w:spacing w:after="120" w:before="0" w:line="360" w:lineRule="auto"/>
        <w:ind w:firstLine="720"/>
        <w:jc w:val="both"/>
      </w:pPr>
      <w:r>
        <w:rPr>
          <w:rFonts w:ascii="Times New Roman" w:hAnsi="Times New Roman" w:eastAsia="Times New Roman"/>
          <w:b w:val="0"/>
          <w:i/>
          <w:sz w:val="26"/>
        </w:rPr>
        <w:t>Source: Author's compilation based on platform surveys (accessed February 2026).</w:t>
      </w:r>
    </w:p>
    <w:p>
      <w:pPr>
        <w:spacing w:before="240" w:after="120" w:line="360" w:lineRule="auto"/>
        <w:jc w:val="left"/>
        <w:outlineLvl w:val="1"/>
      </w:pPr>
      <w:r>
        <w:rPr>
          <w:rFonts w:ascii="Times New Roman" w:hAnsi="Times New Roman" w:eastAsia="Times New Roman"/>
          <w:b/>
          <w:i w:val="0"/>
          <w:color w:val="000000"/>
          <w:sz w:val="28"/>
        </w:rPr>
        <w:t>2.7 Synthesis</w:t>
      </w:r>
    </w:p>
    <w:p>
      <w:pPr>
        <w:spacing w:after="120" w:before="0" w:line="360" w:lineRule="auto"/>
        <w:ind w:firstLine="720"/>
        <w:jc w:val="both"/>
      </w:pPr>
      <w:r>
        <w:rPr>
          <w:rFonts w:ascii="Times New Roman" w:hAnsi="Times New Roman" w:eastAsia="Times New Roman"/>
          <w:b w:val="0"/>
          <w:i w:val="0"/>
          <w:sz w:val="26"/>
        </w:rPr>
        <w:t>The literature points to a common theme: Vietnamese retail investors need accessible quantitative tools, but those tools must be careful about how they present results. A backtesting engine that ignores transaction costs will produce misleading numbers. Risk metrics computed on raw HOSE data without accounting for price limits will underestimate tail risk. And an AI assistant that generates numbers from parametric knowledge rather than actual computation is a liability, not a feature.</w:t>
      </w:r>
    </w:p>
    <w:p>
      <w:pPr>
        <w:spacing w:after="120" w:before="0" w:line="360" w:lineRule="auto"/>
        <w:ind w:firstLine="720"/>
        <w:jc w:val="both"/>
      </w:pPr>
      <w:r>
        <w:rPr>
          <w:rFonts w:ascii="Times New Roman" w:hAnsi="Times New Roman" w:eastAsia="Times New Roman"/>
          <w:b w:val="0"/>
          <w:i w:val="0"/>
          <w:sz w:val="26"/>
        </w:rPr>
        <w:t>QuantVN Strategy Forge is designed around these constraints. It brings stock screening, strategy backtesting, portfolio optimisation, risk management, and factor analysis into a single platform, with an AI assistant that grounds its explanations in the platform's own quantitative computations rather than generating answers from general knowledge.</w:t>
      </w:r>
    </w:p>
    <w:p>
      <w:pPr>
        <w:spacing w:before="240" w:after="120" w:line="360" w:lineRule="auto"/>
        <w:jc w:val="left"/>
        <w:outlineLvl w:val="1"/>
      </w:pPr>
      <w:r>
        <w:rPr>
          <w:rFonts w:ascii="Times New Roman" w:hAnsi="Times New Roman" w:eastAsia="Times New Roman"/>
          <w:b/>
          <w:i w:val="0"/>
          <w:color w:val="000000"/>
          <w:sz w:val="28"/>
        </w:rPr>
        <w:t>2.8 Research Hypotheses</w:t>
      </w:r>
    </w:p>
    <w:p>
      <w:pPr>
        <w:spacing w:after="120" w:before="0" w:line="360" w:lineRule="auto"/>
        <w:ind w:firstLine="720"/>
        <w:jc w:val="both"/>
      </w:pPr>
      <w:r>
        <w:rPr>
          <w:rFonts w:ascii="Times New Roman" w:hAnsi="Times New Roman" w:eastAsia="Times New Roman"/>
          <w:b w:val="0"/>
          <w:i w:val="0"/>
          <w:sz w:val="26"/>
        </w:rPr>
        <w:t xml:space="preserve">Based on the literature gap identified in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_Table_2_1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Table 2.1</w:t>
      </w:r>
      <w:r>
        <w:rPr>
          <w:rFonts w:ascii="Times New Roman" w:hAnsi="Times New Roman" w:eastAsia="Times New Roman"/>
          <w:b w:val="0"/>
          <w:i w:val="0"/>
          <w:sz w:val="26"/>
        </w:rPr>
        <w:fldChar w:fldCharType="end"/>
      </w:r>
      <w:r>
        <w:rPr>
          <w:rFonts w:ascii="Times New Roman" w:hAnsi="Times New Roman" w:eastAsia="Times New Roman"/>
          <w:b w:val="0"/>
          <w:i w:val="0"/>
          <w:sz w:val="26"/>
        </w:rPr>
        <w:t xml:space="preserve"> and the limitations of existing approaches reviewed in Sections 2.3–2.6, this thesis proposes the following testable hypotheses:</w:t>
      </w:r>
    </w:p>
    <w:p>
      <w:pPr>
        <w:spacing w:after="120" w:before="0" w:line="360" w:lineRule="auto"/>
        <w:ind w:firstLine="720"/>
        <w:jc w:val="both"/>
      </w:pPr>
      <w:r>
        <w:rPr>
          <w:rFonts w:ascii="Times New Roman" w:hAnsi="Times New Roman" w:eastAsia="Times New Roman"/>
          <w:b/>
          <w:i w:val="0"/>
          <w:sz w:val="26"/>
        </w:rPr>
        <w:t>H1:</w:t>
      </w:r>
      <w:r>
        <w:rPr>
          <w:rFonts w:ascii="Times New Roman" w:hAnsi="Times New Roman" w:eastAsia="Times New Roman"/>
          <w:b w:val="0"/>
          <w:i w:val="0"/>
          <w:sz w:val="26"/>
        </w:rPr>
        <w:t xml:space="preserve"> A web-based integrated quantitative analysis platform can make institutional-grade quantitative tools accessible to Vietnamese retail investors on HOSE without requiring programming knowledge or specialised software installation.</w:t>
      </w:r>
    </w:p>
    <w:p>
      <w:pPr>
        <w:spacing w:after="120" w:before="0" w:line="360" w:lineRule="auto"/>
        <w:ind w:firstLine="720"/>
        <w:jc w:val="both"/>
      </w:pPr>
      <w:r>
        <w:rPr>
          <w:rFonts w:ascii="Times New Roman" w:hAnsi="Times New Roman" w:eastAsia="Times New Roman"/>
          <w:b/>
          <w:i w:val="0"/>
          <w:sz w:val="26"/>
        </w:rPr>
        <w:t>H2:</w:t>
      </w:r>
      <w:r>
        <w:rPr>
          <w:rFonts w:ascii="Times New Roman" w:hAnsi="Times New Roman" w:eastAsia="Times New Roman"/>
          <w:b w:val="0"/>
          <w:i w:val="0"/>
          <w:sz w:val="26"/>
        </w:rPr>
        <w:t xml:space="preserve"> Incorporating Vietnamese market-specific parameters — including HOSE's 100-share lot size, domestic transaction costs (brokerage fee, sell-side tax), and next-open execution model — into a backtesting engine produces more realistic performance estimates than generic international tools that omit these parameters.</w:t>
      </w:r>
    </w:p>
    <w:p>
      <w:pPr>
        <w:spacing w:after="120" w:before="0" w:line="360" w:lineRule="auto"/>
        <w:ind w:firstLine="720"/>
        <w:jc w:val="both"/>
      </w:pPr>
      <w:r>
        <w:rPr>
          <w:rFonts w:ascii="Times New Roman" w:hAnsi="Times New Roman" w:eastAsia="Times New Roman"/>
          <w:b/>
          <w:i w:val="0"/>
          <w:sz w:val="26"/>
        </w:rPr>
        <w:t>H3:</w:t>
      </w:r>
      <w:r>
        <w:rPr>
          <w:rFonts w:ascii="Times New Roman" w:hAnsi="Times New Roman" w:eastAsia="Times New Roman"/>
          <w:b w:val="0"/>
          <w:i w:val="0"/>
          <w:sz w:val="26"/>
        </w:rPr>
        <w:t xml:space="preserve"> A no-code visual strategy builder based on a node-and-edge composition model can enable non-technical retail investors on HOSE to design, backtest, and iterate on quantitative trading strategies — addressing the barrier created by existing no-code algorithmic trading platforms (such as Zerodha Streak, uTrade Algos, and AlgoBulls) that offer visual strategy design but do not support Vietnamese equities or HOSE market conventions.</w:t>
      </w:r>
    </w:p>
    <w:p>
      <w:pPr>
        <w:spacing w:after="120" w:before="0" w:line="360" w:lineRule="auto"/>
        <w:ind w:firstLine="720"/>
        <w:jc w:val="both"/>
      </w:pPr>
      <w:r>
        <w:rPr>
          <w:rFonts w:ascii="Times New Roman" w:hAnsi="Times New Roman" w:eastAsia="Times New Roman"/>
          <w:b/>
          <w:i w:val="0"/>
          <w:sz w:val="26"/>
        </w:rPr>
        <w:t>H4:</w:t>
      </w:r>
      <w:r>
        <w:rPr>
          <w:rFonts w:ascii="Times New Roman" w:hAnsi="Times New Roman" w:eastAsia="Times New Roman"/>
          <w:b w:val="0"/>
          <w:i w:val="0"/>
          <w:sz w:val="26"/>
        </w:rPr>
        <w:t xml:space="preserve"> A multi-stage data validation pipeline that explicitly handles issues arising from raw open-source data access via vnstock — including price record inconsistencies, corporate action gaps, trading halts, and coverage variations across symbols — can ensure that analytical outputs remain reliable despite the inherent limitations of freely-accessible, exchange-sourced data.</w:t>
      </w:r>
    </w:p>
    <w:p>
      <w:pPr>
        <w:spacing w:after="120" w:before="0" w:line="360" w:lineRule="auto"/>
        <w:ind w:firstLine="720"/>
        <w:jc w:val="both"/>
      </w:pPr>
      <w:r>
        <w:rPr>
          <w:rFonts w:ascii="Times New Roman" w:hAnsi="Times New Roman" w:eastAsia="Times New Roman"/>
          <w:b/>
          <w:i w:val="0"/>
          <w:sz w:val="26"/>
        </w:rPr>
        <w:t>H5:</w:t>
      </w:r>
      <w:r>
        <w:rPr>
          <w:rFonts w:ascii="Times New Roman" w:hAnsi="Times New Roman" w:eastAsia="Times New Roman"/>
          <w:b w:val="0"/>
          <w:i w:val="0"/>
          <w:sz w:val="26"/>
        </w:rPr>
        <w:t xml:space="preserve"> An AI assistant with tool-grounding and an abstention policy can provide reliable financial analysis explanations without generating unsupported numerical claims.</w:t>
      </w:r>
    </w:p>
    <w:p>
      <w:pPr>
        <w:spacing w:after="120" w:before="0" w:line="360" w:lineRule="auto"/>
        <w:ind w:firstLine="720"/>
        <w:jc w:val="both"/>
      </w:pPr>
      <w:r>
        <w:rPr>
          <w:rFonts w:ascii="Times New Roman" w:hAnsi="Times New Roman" w:eastAsia="Times New Roman"/>
          <w:b w:val="0"/>
          <w:i w:val="0"/>
          <w:sz w:val="26"/>
        </w:rPr>
        <w:t>These hypotheses are evaluated against empirical evidence in Chapter 4 and summarised in Appendix A.</w:t>
      </w:r>
    </w:p>
    <w:p>
      <w:r>
        <w:br w:type="page"/>
      </w:r>
    </w:p>
    <w:p>
      <w:pPr>
        <w:spacing w:before="360" w:after="120" w:line="360" w:lineRule="auto"/>
        <w:jc w:val="left"/>
        <w:outlineLvl w:val="0"/>
      </w:pPr>
      <w:r>
        <w:rPr>
          <w:rFonts w:ascii="Times New Roman" w:hAnsi="Times New Roman" w:eastAsia="Times New Roman"/>
          <w:b/>
          <w:i w:val="0"/>
          <w:color w:val="000000"/>
          <w:sz w:val="32"/>
        </w:rPr>
        <w:t>3. Research Methodology</w:t>
      </w:r>
    </w:p>
    <w:p>
      <w:pPr>
        <w:spacing w:after="120" w:before="0" w:line="360" w:lineRule="auto"/>
        <w:ind w:firstLine="720"/>
        <w:jc w:val="both"/>
      </w:pPr>
      <w:r>
        <w:rPr>
          <w:rFonts w:ascii="Times New Roman" w:hAnsi="Times New Roman" w:eastAsia="Times New Roman"/>
          <w:b w:val="0"/>
          <w:i w:val="0"/>
          <w:sz w:val="26"/>
        </w:rPr>
        <w:t>This chapter presents the research methodology used to design, implement, and evaluate QuantVN Strategy Forge.</w:t>
      </w:r>
    </w:p>
    <w:p>
      <w:pPr>
        <w:spacing w:before="240" w:after="120" w:line="360" w:lineRule="auto"/>
        <w:jc w:val="left"/>
        <w:outlineLvl w:val="1"/>
      </w:pPr>
      <w:r>
        <w:rPr>
          <w:rFonts w:ascii="Times New Roman" w:hAnsi="Times New Roman" w:eastAsia="Times New Roman"/>
          <w:b/>
          <w:i w:val="0"/>
          <w:color w:val="000000"/>
          <w:sz w:val="28"/>
        </w:rPr>
        <w:t>3.1 Research Approach</w:t>
      </w:r>
    </w:p>
    <w:p>
      <w:pPr>
        <w:spacing w:after="120" w:before="0" w:line="360" w:lineRule="auto"/>
        <w:ind w:firstLine="720"/>
        <w:jc w:val="both"/>
      </w:pPr>
      <w:r>
        <w:rPr>
          <w:rFonts w:ascii="Times New Roman" w:hAnsi="Times New Roman" w:eastAsia="Times New Roman"/>
          <w:b w:val="0"/>
          <w:i w:val="0"/>
          <w:sz w:val="26"/>
        </w:rPr>
        <w:t>This thesis takes an applied research approach. It starts from a practical problem — the absence of accessible quantitative tools for Vietnamese retail investors — then designs and builds a platform to address it, and finally evaluates whether the platform works as intended.</w:t>
      </w:r>
    </w:p>
    <w:p>
      <w:pPr>
        <w:spacing w:after="120" w:before="0" w:line="360" w:lineRule="auto"/>
        <w:ind w:firstLine="720"/>
        <w:jc w:val="both"/>
      </w:pPr>
      <w:r>
        <w:rPr>
          <w:rFonts w:ascii="Times New Roman" w:hAnsi="Times New Roman" w:eastAsia="Times New Roman"/>
          <w:b w:val="0"/>
          <w:i w:val="0"/>
          <w:sz w:val="26"/>
        </w:rPr>
        <w:t>Three evaluation methods are used to address the research questions from Chapter 1:</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024"/>
            <w:shd w:fill="D9E2F3" w:val="clear"/>
          </w:tcPr>
          <w:p>
            <w:pPr>
              <w:jc w:val="center"/>
            </w:pPr>
            <w:r/>
            <w:r>
              <w:rPr>
                <w:rFonts w:ascii="Times New Roman" w:hAnsi="Times New Roman" w:eastAsia="Times New Roman"/>
                <w:b/>
                <w:i w:val="0"/>
                <w:sz w:val="22"/>
              </w:rPr>
              <w:t>Research Question</w:t>
            </w:r>
          </w:p>
        </w:tc>
        <w:tc>
          <w:tcPr>
            <w:tcW w:type="dxa" w:w="3024"/>
            <w:shd w:fill="D9E2F3" w:val="clear"/>
          </w:tcPr>
          <w:p>
            <w:pPr>
              <w:jc w:val="center"/>
            </w:pPr>
            <w:r/>
            <w:r>
              <w:rPr>
                <w:rFonts w:ascii="Times New Roman" w:hAnsi="Times New Roman" w:eastAsia="Times New Roman"/>
                <w:b/>
                <w:i w:val="0"/>
                <w:sz w:val="22"/>
              </w:rPr>
              <w:t>Related Hypotheses</w:t>
            </w:r>
          </w:p>
        </w:tc>
        <w:tc>
          <w:tcPr>
            <w:tcW w:type="dxa" w:w="3024"/>
            <w:shd w:fill="D9E2F3" w:val="clear"/>
          </w:tcPr>
          <w:p>
            <w:pPr>
              <w:jc w:val="center"/>
            </w:pPr>
            <w:r/>
            <w:r>
              <w:rPr>
                <w:rFonts w:ascii="Times New Roman" w:hAnsi="Times New Roman" w:eastAsia="Times New Roman"/>
                <w:b/>
                <w:i w:val="0"/>
                <w:sz w:val="22"/>
              </w:rPr>
              <w:t>Evaluation Method</w:t>
            </w:r>
          </w:p>
        </w:tc>
      </w:tr>
      <w:tr>
        <w:tc>
          <w:tcPr>
            <w:tcW w:type="dxa" w:w="3024"/>
          </w:tcPr>
          <w:p>
            <w:pPr>
              <w:jc w:val="left"/>
            </w:pPr>
            <w:r/>
            <w:r>
              <w:rPr>
                <w:rFonts w:ascii="Times New Roman" w:hAnsi="Times New Roman" w:eastAsia="Times New Roman"/>
                <w:b w:val="0"/>
                <w:i w:val="0"/>
                <w:sz w:val="22"/>
              </w:rPr>
              <w:t>RQ1 (Platform design for accessibility)</w:t>
            </w:r>
          </w:p>
        </w:tc>
        <w:tc>
          <w:tcPr>
            <w:tcW w:type="dxa" w:w="3024"/>
          </w:tcPr>
          <w:p>
            <w:pPr>
              <w:jc w:val="left"/>
            </w:pPr>
            <w:r/>
            <w:r>
              <w:rPr>
                <w:rFonts w:ascii="Times New Roman" w:hAnsi="Times New Roman" w:eastAsia="Times New Roman"/>
                <w:b w:val="0"/>
                <w:i w:val="0"/>
                <w:sz w:val="22"/>
              </w:rPr>
              <w:t>H1, H3</w:t>
            </w:r>
          </w:p>
        </w:tc>
        <w:tc>
          <w:tcPr>
            <w:tcW w:type="dxa" w:w="3024"/>
          </w:tcPr>
          <w:p>
            <w:pPr>
              <w:jc w:val="left"/>
            </w:pPr>
            <w:r/>
            <w:r>
              <w:rPr>
                <w:rFonts w:ascii="Times New Roman" w:hAnsi="Times New Roman" w:eastAsia="Times New Roman"/>
                <w:b w:val="0"/>
                <w:i w:val="0"/>
                <w:sz w:val="22"/>
              </w:rPr>
              <w:t>System design and implementation, feature comparison with existing platforms (Table 2.1)</w:t>
            </w:r>
          </w:p>
        </w:tc>
      </w:tr>
      <w:tr>
        <w:tc>
          <w:tcPr>
            <w:tcW w:type="dxa" w:w="3024"/>
          </w:tcPr>
          <w:p>
            <w:pPr>
              <w:jc w:val="left"/>
            </w:pPr>
            <w:r/>
            <w:r>
              <w:rPr>
                <w:rFonts w:ascii="Times New Roman" w:hAnsi="Times New Roman" w:eastAsia="Times New Roman"/>
                <w:b w:val="0"/>
                <w:i w:val="0"/>
                <w:sz w:val="22"/>
              </w:rPr>
              <w:t>RQ2 (Strategy design and backtesting effectiveness)</w:t>
            </w:r>
          </w:p>
        </w:tc>
        <w:tc>
          <w:tcPr>
            <w:tcW w:type="dxa" w:w="3024"/>
          </w:tcPr>
          <w:p>
            <w:pPr>
              <w:jc w:val="left"/>
            </w:pPr>
            <w:r/>
            <w:r>
              <w:rPr>
                <w:rFonts w:ascii="Times New Roman" w:hAnsi="Times New Roman" w:eastAsia="Times New Roman"/>
                <w:b w:val="0"/>
                <w:i w:val="0"/>
                <w:sz w:val="22"/>
              </w:rPr>
              <w:t>H2, H3</w:t>
            </w:r>
          </w:p>
        </w:tc>
        <w:tc>
          <w:tcPr>
            <w:tcW w:type="dxa" w:w="3024"/>
          </w:tcPr>
          <w:p>
            <w:pPr>
              <w:jc w:val="left"/>
            </w:pPr>
            <w:r/>
            <w:r>
              <w:rPr>
                <w:rFonts w:ascii="Times New Roman" w:hAnsi="Times New Roman" w:eastAsia="Times New Roman"/>
                <w:b w:val="0"/>
                <w:i w:val="0"/>
                <w:sz w:val="22"/>
              </w:rPr>
              <w:t>Demonstration of backtesting workflows with realistic assumptions on HOSE data</w:t>
            </w:r>
          </w:p>
        </w:tc>
      </w:tr>
      <w:tr>
        <w:tc>
          <w:tcPr>
            <w:tcW w:type="dxa" w:w="3024"/>
          </w:tcPr>
          <w:p>
            <w:pPr>
              <w:jc w:val="left"/>
            </w:pPr>
            <w:r/>
            <w:r>
              <w:rPr>
                <w:rFonts w:ascii="Times New Roman" w:hAnsi="Times New Roman" w:eastAsia="Times New Roman"/>
                <w:b w:val="0"/>
                <w:i w:val="0"/>
                <w:sz w:val="22"/>
              </w:rPr>
              <w:t>RQ3 (AI assistant reliability)</w:t>
            </w:r>
          </w:p>
        </w:tc>
        <w:tc>
          <w:tcPr>
            <w:tcW w:type="dxa" w:w="3024"/>
          </w:tcPr>
          <w:p>
            <w:pPr>
              <w:jc w:val="left"/>
            </w:pPr>
            <w:r/>
            <w:r>
              <w:rPr>
                <w:rFonts w:ascii="Times New Roman" w:hAnsi="Times New Roman" w:eastAsia="Times New Roman"/>
                <w:b w:val="0"/>
                <w:i w:val="0"/>
                <w:sz w:val="22"/>
              </w:rPr>
              <w:t>H5</w:t>
            </w:r>
          </w:p>
        </w:tc>
        <w:tc>
          <w:tcPr>
            <w:tcW w:type="dxa" w:w="3024"/>
          </w:tcPr>
          <w:p>
            <w:pPr>
              <w:jc w:val="left"/>
            </w:pPr>
            <w:r/>
            <w:r>
              <w:rPr>
                <w:rFonts w:ascii="Times New Roman" w:hAnsi="Times New Roman" w:eastAsia="Times New Roman"/>
                <w:b w:val="0"/>
                <w:i w:val="0"/>
                <w:sz w:val="22"/>
              </w:rPr>
              <w:t>Evaluation of assistant responses for evidence grounding and abstention behaviour</w:t>
            </w:r>
          </w:p>
        </w:tc>
      </w:tr>
      <w:tr>
        <w:tc>
          <w:tcPr>
            <w:tcW w:type="dxa" w:w="3024"/>
          </w:tcPr>
          <w:p>
            <w:pPr>
              <w:jc w:val="left"/>
            </w:pPr>
            <w:r/>
            <w:r>
              <w:rPr>
                <w:rFonts w:ascii="Times New Roman" w:hAnsi="Times New Roman" w:eastAsia="Times New Roman"/>
                <w:b w:val="0"/>
                <w:i w:val="0"/>
                <w:sz w:val="22"/>
              </w:rPr>
              <w:t>—</w:t>
            </w:r>
          </w:p>
        </w:tc>
        <w:tc>
          <w:tcPr>
            <w:tcW w:type="dxa" w:w="3024"/>
          </w:tcPr>
          <w:p>
            <w:pPr>
              <w:jc w:val="left"/>
            </w:pPr>
            <w:r/>
            <w:r>
              <w:rPr>
                <w:rFonts w:ascii="Times New Roman" w:hAnsi="Times New Roman" w:eastAsia="Times New Roman"/>
                <w:b w:val="0"/>
                <w:i w:val="0"/>
                <w:sz w:val="22"/>
              </w:rPr>
              <w:t xml:space="preserve">H4 </w:t>
            </w:r>
            <w:r>
              <w:rPr>
                <w:rFonts w:ascii="Times New Roman" w:hAnsi="Times New Roman" w:eastAsia="Times New Roman"/>
                <w:b w:val="0"/>
                <w:i/>
                <w:sz w:val="22"/>
              </w:rPr>
              <w:t>(enabling infrastructure)</w:t>
            </w:r>
          </w:p>
        </w:tc>
        <w:tc>
          <w:tcPr>
            <w:tcW w:type="dxa" w:w="3024"/>
          </w:tcPr>
          <w:p>
            <w:pPr>
              <w:jc w:val="left"/>
            </w:pPr>
            <w:r/>
            <w:r>
              <w:rPr>
                <w:rFonts w:ascii="Times New Roman" w:hAnsi="Times New Roman" w:eastAsia="Times New Roman"/>
                <w:b w:val="0"/>
                <w:i w:val="0"/>
                <w:sz w:val="22"/>
              </w:rPr>
              <w:t>H4 (data validation pipeline) is not tied to a single RQ but underpins both RQ1 and RQ2: without validated data, the platform cannot produce reliable screening or backtesting results. Evaluated through pipeline coverage statistics and quality gate demonstrations.</w:t>
            </w:r>
          </w:p>
        </w:tc>
      </w:tr>
    </w:tbl>
    <w:p>
      <w:pPr>
        <w:spacing w:after="200" w:before="80" w:line="360" w:lineRule="auto"/>
        <w:jc w:val="center"/>
      </w:pPr>
      <w:bookmarkStart w:id="2" w:name="_Table_3_1"/>
      <w:r>
        <w:rPr>
          <w:rFonts w:ascii="Times New Roman" w:hAnsi="Times New Roman" w:eastAsia="Times New Roman"/>
          <w:b w:val="0"/>
          <w:i/>
          <w:sz w:val="22"/>
        </w:rPr>
        <w:t>Table 3.1: Research questions, hypotheses, and evaluation methods.</w:t>
      </w:r>
      <w:bookmarkEnd w:id="2"/>
    </w:p>
    <w:p>
      <w:pPr>
        <w:spacing w:before="240" w:after="120" w:line="360" w:lineRule="auto"/>
        <w:jc w:val="left"/>
        <w:outlineLvl w:val="1"/>
      </w:pPr>
      <w:r>
        <w:rPr>
          <w:rFonts w:ascii="Times New Roman" w:hAnsi="Times New Roman" w:eastAsia="Times New Roman"/>
          <w:b/>
          <w:i w:val="0"/>
          <w:color w:val="000000"/>
          <w:sz w:val="28"/>
        </w:rPr>
        <w:t>3.2 Data Collection and Description</w:t>
      </w:r>
    </w:p>
    <w:p>
      <w:pPr>
        <w:spacing w:after="120" w:before="0" w:line="360" w:lineRule="auto"/>
        <w:ind w:firstLine="720"/>
        <w:jc w:val="both"/>
      </w:pPr>
      <w:r>
        <w:rPr>
          <w:rFonts w:ascii="Times New Roman" w:hAnsi="Times New Roman" w:eastAsia="Times New Roman"/>
          <w:b w:val="0"/>
          <w:i w:val="0"/>
          <w:sz w:val="26"/>
        </w:rPr>
        <w:t xml:space="preserve">The research uses daily-frequency equity data from the Ho Chi Minh Stock Exchange (HOSE), collected via the vnstock open-source Python library (Thinh Vu, 2023).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_Table_3_2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Table 3.2</w:t>
      </w:r>
      <w:r>
        <w:rPr>
          <w:rFonts w:ascii="Times New Roman" w:hAnsi="Times New Roman" w:eastAsia="Times New Roman"/>
          <w:b w:val="0"/>
          <w:i w:val="0"/>
          <w:sz w:val="26"/>
        </w:rPr>
        <w:fldChar w:fldCharType="end"/>
      </w:r>
      <w:r>
        <w:rPr>
          <w:rFonts w:ascii="Times New Roman" w:hAnsi="Times New Roman" w:eastAsia="Times New Roman"/>
          <w:b w:val="0"/>
          <w:i w:val="0"/>
          <w:sz w:val="26"/>
        </w:rPr>
        <w:t xml:space="preserve"> describes the dataset categories.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4"/>
        <w:gridCol w:w="1814"/>
        <w:gridCol w:w="1814"/>
        <w:gridCol w:w="1814"/>
        <w:gridCol w:w="1814"/>
      </w:tblGrid>
      <w:tr>
        <w:tc>
          <w:tcPr>
            <w:tcW w:type="dxa" w:w="1814"/>
            <w:shd w:fill="D9E2F3" w:val="clear"/>
          </w:tcPr>
          <w:p>
            <w:pPr>
              <w:jc w:val="center"/>
            </w:pPr>
            <w:r/>
            <w:r>
              <w:rPr>
                <w:rFonts w:ascii="Times New Roman" w:hAnsi="Times New Roman" w:eastAsia="Times New Roman"/>
                <w:b/>
                <w:i w:val="0"/>
                <w:sz w:val="22"/>
              </w:rPr>
              <w:t>Dataset</w:t>
            </w:r>
          </w:p>
        </w:tc>
        <w:tc>
          <w:tcPr>
            <w:tcW w:type="dxa" w:w="1814"/>
            <w:shd w:fill="D9E2F3" w:val="clear"/>
          </w:tcPr>
          <w:p>
            <w:pPr>
              <w:jc w:val="center"/>
            </w:pPr>
            <w:r/>
            <w:r>
              <w:rPr>
                <w:rFonts w:ascii="Times New Roman" w:hAnsi="Times New Roman" w:eastAsia="Times New Roman"/>
                <w:b/>
                <w:i w:val="0"/>
                <w:sz w:val="22"/>
              </w:rPr>
              <w:t>Coverage</w:t>
            </w:r>
          </w:p>
        </w:tc>
        <w:tc>
          <w:tcPr>
            <w:tcW w:type="dxa" w:w="1814"/>
            <w:shd w:fill="D9E2F3" w:val="clear"/>
          </w:tcPr>
          <w:p>
            <w:pPr>
              <w:jc w:val="center"/>
            </w:pPr>
            <w:r/>
            <w:r>
              <w:rPr>
                <w:rFonts w:ascii="Times New Roman" w:hAnsi="Times New Roman" w:eastAsia="Times New Roman"/>
                <w:b/>
                <w:i w:val="0"/>
                <w:sz w:val="22"/>
              </w:rPr>
              <w:t>Frequency</w:t>
            </w:r>
          </w:p>
        </w:tc>
        <w:tc>
          <w:tcPr>
            <w:tcW w:type="dxa" w:w="1814"/>
            <w:shd w:fill="D9E2F3" w:val="clear"/>
          </w:tcPr>
          <w:p>
            <w:pPr>
              <w:jc w:val="center"/>
            </w:pPr>
            <w:r/>
            <w:r>
              <w:rPr>
                <w:rFonts w:ascii="Times New Roman" w:hAnsi="Times New Roman" w:eastAsia="Times New Roman"/>
                <w:b/>
                <w:i w:val="0"/>
                <w:sz w:val="22"/>
              </w:rPr>
              <w:t>Description</w:t>
            </w:r>
          </w:p>
        </w:tc>
        <w:tc>
          <w:tcPr>
            <w:tcW w:type="dxa" w:w="1814"/>
            <w:shd w:fill="D9E2F3" w:val="clear"/>
          </w:tcPr>
          <w:p>
            <w:pPr>
              <w:jc w:val="center"/>
            </w:pPr>
            <w:r/>
            <w:r>
              <w:rPr>
                <w:rFonts w:ascii="Times New Roman" w:hAnsi="Times New Roman" w:eastAsia="Times New Roman"/>
                <w:b/>
                <w:i w:val="0"/>
                <w:sz w:val="22"/>
              </w:rPr>
              <w:t>Records</w:t>
            </w:r>
          </w:p>
        </w:tc>
      </w:tr>
      <w:tr>
        <w:tc>
          <w:tcPr>
            <w:tcW w:type="dxa" w:w="1814"/>
          </w:tcPr>
          <w:p>
            <w:pPr>
              <w:jc w:val="left"/>
            </w:pPr>
            <w:r/>
            <w:r>
              <w:rPr>
                <w:rFonts w:ascii="Times New Roman" w:hAnsi="Times New Roman" w:eastAsia="Times New Roman"/>
                <w:b w:val="0"/>
                <w:i w:val="0"/>
                <w:sz w:val="22"/>
              </w:rPr>
              <w:t>OHLCV price series</w:t>
            </w:r>
          </w:p>
        </w:tc>
        <w:tc>
          <w:tcPr>
            <w:tcW w:type="dxa" w:w="1814"/>
          </w:tcPr>
          <w:p>
            <w:pPr>
              <w:jc w:val="left"/>
            </w:pPr>
            <w:r/>
            <w:r>
              <w:rPr>
                <w:rFonts w:ascii="Times New Roman" w:hAnsi="Times New Roman" w:eastAsia="Times New Roman"/>
                <w:b w:val="0"/>
                <w:i w:val="0"/>
                <w:sz w:val="22"/>
              </w:rPr>
              <w:t>2018–2025</w:t>
            </w:r>
          </w:p>
        </w:tc>
        <w:tc>
          <w:tcPr>
            <w:tcW w:type="dxa" w:w="1814"/>
          </w:tcPr>
          <w:p>
            <w:pPr>
              <w:jc w:val="left"/>
            </w:pPr>
            <w:r/>
            <w:r>
              <w:rPr>
                <w:rFonts w:ascii="Times New Roman" w:hAnsi="Times New Roman" w:eastAsia="Times New Roman"/>
                <w:b w:val="0"/>
                <w:i w:val="0"/>
                <w:sz w:val="22"/>
              </w:rPr>
              <w:t>Daily</w:t>
            </w:r>
          </w:p>
        </w:tc>
        <w:tc>
          <w:tcPr>
            <w:tcW w:type="dxa" w:w="1814"/>
          </w:tcPr>
          <w:p>
            <w:pPr>
              <w:jc w:val="left"/>
            </w:pPr>
            <w:r/>
            <w:r>
              <w:rPr>
                <w:rFonts w:ascii="Times New Roman" w:hAnsi="Times New Roman" w:eastAsia="Times New Roman"/>
                <w:b w:val="0"/>
                <w:i w:val="0"/>
                <w:sz w:val="22"/>
              </w:rPr>
              <w:t>Open, High, Low, Close, Volume per symbol</w:t>
            </w:r>
          </w:p>
        </w:tc>
        <w:tc>
          <w:tcPr>
            <w:tcW w:type="dxa" w:w="1814"/>
          </w:tcPr>
          <w:p>
            <w:pPr>
              <w:jc w:val="left"/>
            </w:pPr>
            <w:r/>
            <w:r>
              <w:rPr>
                <w:rFonts w:ascii="Times New Roman" w:hAnsi="Times New Roman" w:eastAsia="Times New Roman"/>
                <w:b w:val="0"/>
                <w:i w:val="0"/>
                <w:sz w:val="22"/>
              </w:rPr>
              <w:t>768,718 rows</w:t>
            </w:r>
          </w:p>
        </w:tc>
      </w:tr>
      <w:tr>
        <w:tc>
          <w:tcPr>
            <w:tcW w:type="dxa" w:w="1814"/>
          </w:tcPr>
          <w:p>
            <w:pPr>
              <w:jc w:val="left"/>
            </w:pPr>
            <w:r/>
            <w:r>
              <w:rPr>
                <w:rFonts w:ascii="Times New Roman" w:hAnsi="Times New Roman" w:eastAsia="Times New Roman"/>
                <w:b w:val="0"/>
                <w:i w:val="0"/>
                <w:sz w:val="22"/>
              </w:rPr>
              <w:t>Stock metadata</w:t>
            </w:r>
          </w:p>
        </w:tc>
        <w:tc>
          <w:tcPr>
            <w:tcW w:type="dxa" w:w="1814"/>
          </w:tcPr>
          <w:p>
            <w:pPr>
              <w:jc w:val="left"/>
            </w:pPr>
            <w:r/>
            <w:r>
              <w:rPr>
                <w:rFonts w:ascii="Times New Roman" w:hAnsi="Times New Roman" w:eastAsia="Times New Roman"/>
                <w:b w:val="0"/>
                <w:i w:val="0"/>
                <w:sz w:val="22"/>
              </w:rPr>
              <w:t>Current</w:t>
            </w:r>
          </w:p>
        </w:tc>
        <w:tc>
          <w:tcPr>
            <w:tcW w:type="dxa" w:w="1814"/>
          </w:tcPr>
          <w:p>
            <w:pPr>
              <w:jc w:val="left"/>
            </w:pPr>
            <w:r/>
            <w:r>
              <w:rPr>
                <w:rFonts w:ascii="Times New Roman" w:hAnsi="Times New Roman" w:eastAsia="Times New Roman"/>
                <w:b w:val="0"/>
                <w:i w:val="0"/>
                <w:sz w:val="22"/>
              </w:rPr>
              <w:t>Static</w:t>
            </w:r>
          </w:p>
        </w:tc>
        <w:tc>
          <w:tcPr>
            <w:tcW w:type="dxa" w:w="1814"/>
          </w:tcPr>
          <w:p>
            <w:pPr>
              <w:jc w:val="left"/>
            </w:pPr>
            <w:r/>
            <w:r>
              <w:rPr>
                <w:rFonts w:ascii="Times New Roman" w:hAnsi="Times New Roman" w:eastAsia="Times New Roman"/>
                <w:b w:val="0"/>
                <w:i w:val="0"/>
                <w:sz w:val="22"/>
              </w:rPr>
              <w:t>Symbol, company name, industry (ICB), listing status</w:t>
            </w:r>
          </w:p>
        </w:tc>
        <w:tc>
          <w:tcPr>
            <w:tcW w:type="dxa" w:w="1814"/>
          </w:tcPr>
          <w:p>
            <w:pPr>
              <w:jc w:val="left"/>
            </w:pPr>
            <w:r/>
            <w:r>
              <w:rPr>
                <w:rFonts w:ascii="Times New Roman" w:hAnsi="Times New Roman" w:eastAsia="Times New Roman"/>
                <w:b w:val="0"/>
                <w:i w:val="0"/>
                <w:sz w:val="22"/>
              </w:rPr>
              <w:t>412 symbols</w:t>
            </w:r>
          </w:p>
        </w:tc>
      </w:tr>
      <w:tr>
        <w:tc>
          <w:tcPr>
            <w:tcW w:type="dxa" w:w="1814"/>
          </w:tcPr>
          <w:p>
            <w:pPr>
              <w:jc w:val="left"/>
            </w:pPr>
            <w:r/>
            <w:r>
              <w:rPr>
                <w:rFonts w:ascii="Times New Roman" w:hAnsi="Times New Roman" w:eastAsia="Times New Roman"/>
                <w:b w:val="0"/>
                <w:i w:val="0"/>
                <w:sz w:val="22"/>
              </w:rPr>
              <w:t>Market index (VN-Index)</w:t>
            </w:r>
          </w:p>
        </w:tc>
        <w:tc>
          <w:tcPr>
            <w:tcW w:type="dxa" w:w="1814"/>
          </w:tcPr>
          <w:p>
            <w:pPr>
              <w:jc w:val="left"/>
            </w:pPr>
            <w:r/>
            <w:r>
              <w:rPr>
                <w:rFonts w:ascii="Times New Roman" w:hAnsi="Times New Roman" w:eastAsia="Times New Roman"/>
                <w:b w:val="0"/>
                <w:i w:val="0"/>
                <w:sz w:val="22"/>
              </w:rPr>
              <w:t>2020–2025</w:t>
            </w:r>
          </w:p>
        </w:tc>
        <w:tc>
          <w:tcPr>
            <w:tcW w:type="dxa" w:w="1814"/>
          </w:tcPr>
          <w:p>
            <w:pPr>
              <w:jc w:val="left"/>
            </w:pPr>
            <w:r/>
            <w:r>
              <w:rPr>
                <w:rFonts w:ascii="Times New Roman" w:hAnsi="Times New Roman" w:eastAsia="Times New Roman"/>
                <w:b w:val="0"/>
                <w:i w:val="0"/>
                <w:sz w:val="22"/>
              </w:rPr>
              <w:t>Daily</w:t>
            </w:r>
          </w:p>
        </w:tc>
        <w:tc>
          <w:tcPr>
            <w:tcW w:type="dxa" w:w="1814"/>
          </w:tcPr>
          <w:p>
            <w:pPr>
              <w:jc w:val="left"/>
            </w:pPr>
            <w:r/>
            <w:r>
              <w:rPr>
                <w:rFonts w:ascii="Times New Roman" w:hAnsi="Times New Roman" w:eastAsia="Times New Roman"/>
                <w:b w:val="0"/>
                <w:i w:val="0"/>
                <w:sz w:val="22"/>
              </w:rPr>
              <w:t>Index OHLCV for benchmark comparisons</w:t>
            </w:r>
          </w:p>
        </w:tc>
        <w:tc>
          <w:tcPr>
            <w:tcW w:type="dxa" w:w="1814"/>
          </w:tcPr>
          <w:p>
            <w:pPr>
              <w:jc w:val="left"/>
            </w:pPr>
            <w:r/>
            <w:r>
              <w:rPr>
                <w:rFonts w:ascii="Times New Roman" w:hAnsi="Times New Roman" w:eastAsia="Times New Roman"/>
                <w:b w:val="0"/>
                <w:i w:val="0"/>
                <w:sz w:val="22"/>
              </w:rPr>
              <w:t>~1,500 rows</w:t>
            </w:r>
          </w:p>
        </w:tc>
      </w:tr>
      <w:tr>
        <w:tc>
          <w:tcPr>
            <w:tcW w:type="dxa" w:w="1814"/>
          </w:tcPr>
          <w:p>
            <w:pPr>
              <w:jc w:val="left"/>
            </w:pPr>
            <w:r/>
            <w:r>
              <w:rPr>
                <w:rFonts w:ascii="Times New Roman" w:hAnsi="Times New Roman" w:eastAsia="Times New Roman"/>
                <w:b w:val="0"/>
                <w:i w:val="0"/>
                <w:sz w:val="22"/>
              </w:rPr>
              <w:t>Balance sheet</w:t>
            </w:r>
          </w:p>
        </w:tc>
        <w:tc>
          <w:tcPr>
            <w:tcW w:type="dxa" w:w="1814"/>
          </w:tcPr>
          <w:p>
            <w:pPr>
              <w:jc w:val="left"/>
            </w:pPr>
            <w:r/>
            <w:r>
              <w:rPr>
                <w:rFonts w:ascii="Times New Roman" w:hAnsi="Times New Roman" w:eastAsia="Times New Roman"/>
                <w:b w:val="0"/>
                <w:i w:val="0"/>
                <w:sz w:val="22"/>
              </w:rPr>
              <w:t>2018–2025</w:t>
            </w:r>
          </w:p>
        </w:tc>
        <w:tc>
          <w:tcPr>
            <w:tcW w:type="dxa" w:w="1814"/>
          </w:tcPr>
          <w:p>
            <w:pPr>
              <w:jc w:val="left"/>
            </w:pPr>
            <w:r/>
            <w:r>
              <w:rPr>
                <w:rFonts w:ascii="Times New Roman" w:hAnsi="Times New Roman" w:eastAsia="Times New Roman"/>
                <w:b w:val="0"/>
                <w:i w:val="0"/>
                <w:sz w:val="22"/>
              </w:rPr>
              <w:t>Quarterly</w:t>
            </w:r>
          </w:p>
        </w:tc>
        <w:tc>
          <w:tcPr>
            <w:tcW w:type="dxa" w:w="1814"/>
          </w:tcPr>
          <w:p>
            <w:pPr>
              <w:jc w:val="left"/>
            </w:pPr>
            <w:r/>
            <w:r>
              <w:rPr>
                <w:rFonts w:ascii="Times New Roman" w:hAnsi="Times New Roman" w:eastAsia="Times New Roman"/>
                <w:b w:val="0"/>
                <w:i w:val="0"/>
                <w:sz w:val="22"/>
              </w:rPr>
              <w:t>Assets, liabilities, equity per symbol per quarter</w:t>
            </w:r>
          </w:p>
        </w:tc>
        <w:tc>
          <w:tcPr>
            <w:tcW w:type="dxa" w:w="1814"/>
          </w:tcPr>
          <w:p>
            <w:pPr>
              <w:jc w:val="left"/>
            </w:pPr>
            <w:r/>
            <w:r>
              <w:rPr>
                <w:rFonts w:ascii="Times New Roman" w:hAnsi="Times New Roman" w:eastAsia="Times New Roman"/>
                <w:b w:val="0"/>
                <w:i w:val="0"/>
                <w:sz w:val="22"/>
              </w:rPr>
              <w:t>~20,000 rows</w:t>
            </w:r>
          </w:p>
        </w:tc>
      </w:tr>
      <w:tr>
        <w:tc>
          <w:tcPr>
            <w:tcW w:type="dxa" w:w="1814"/>
          </w:tcPr>
          <w:p>
            <w:pPr>
              <w:jc w:val="left"/>
            </w:pPr>
            <w:r/>
            <w:r>
              <w:rPr>
                <w:rFonts w:ascii="Times New Roman" w:hAnsi="Times New Roman" w:eastAsia="Times New Roman"/>
                <w:b w:val="0"/>
                <w:i w:val="0"/>
                <w:sz w:val="22"/>
              </w:rPr>
              <w:t>Income statement</w:t>
            </w:r>
          </w:p>
        </w:tc>
        <w:tc>
          <w:tcPr>
            <w:tcW w:type="dxa" w:w="1814"/>
          </w:tcPr>
          <w:p>
            <w:pPr>
              <w:jc w:val="left"/>
            </w:pPr>
            <w:r/>
            <w:r>
              <w:rPr>
                <w:rFonts w:ascii="Times New Roman" w:hAnsi="Times New Roman" w:eastAsia="Times New Roman"/>
                <w:b w:val="0"/>
                <w:i w:val="0"/>
                <w:sz w:val="22"/>
              </w:rPr>
              <w:t>2018–2025</w:t>
            </w:r>
          </w:p>
        </w:tc>
        <w:tc>
          <w:tcPr>
            <w:tcW w:type="dxa" w:w="1814"/>
          </w:tcPr>
          <w:p>
            <w:pPr>
              <w:jc w:val="left"/>
            </w:pPr>
            <w:r/>
            <w:r>
              <w:rPr>
                <w:rFonts w:ascii="Times New Roman" w:hAnsi="Times New Roman" w:eastAsia="Times New Roman"/>
                <w:b w:val="0"/>
                <w:i w:val="0"/>
                <w:sz w:val="22"/>
              </w:rPr>
              <w:t>Quarterly</w:t>
            </w:r>
          </w:p>
        </w:tc>
        <w:tc>
          <w:tcPr>
            <w:tcW w:type="dxa" w:w="1814"/>
          </w:tcPr>
          <w:p>
            <w:pPr>
              <w:jc w:val="left"/>
            </w:pPr>
            <w:r/>
            <w:r>
              <w:rPr>
                <w:rFonts w:ascii="Times New Roman" w:hAnsi="Times New Roman" w:eastAsia="Times New Roman"/>
                <w:b w:val="0"/>
                <w:i w:val="0"/>
                <w:sz w:val="22"/>
              </w:rPr>
              <w:t>Revenue, net income, EPS per symbol per quarter</w:t>
            </w:r>
          </w:p>
        </w:tc>
        <w:tc>
          <w:tcPr>
            <w:tcW w:type="dxa" w:w="1814"/>
          </w:tcPr>
          <w:p>
            <w:pPr>
              <w:jc w:val="left"/>
            </w:pPr>
            <w:r/>
            <w:r>
              <w:rPr>
                <w:rFonts w:ascii="Times New Roman" w:hAnsi="Times New Roman" w:eastAsia="Times New Roman"/>
                <w:b w:val="0"/>
                <w:i w:val="0"/>
                <w:sz w:val="22"/>
              </w:rPr>
              <w:t>~18,000 rows</w:t>
            </w:r>
          </w:p>
        </w:tc>
      </w:tr>
      <w:tr>
        <w:tc>
          <w:tcPr>
            <w:tcW w:type="dxa" w:w="1814"/>
          </w:tcPr>
          <w:p>
            <w:pPr>
              <w:jc w:val="left"/>
            </w:pPr>
            <w:r/>
            <w:r>
              <w:rPr>
                <w:rFonts w:ascii="Times New Roman" w:hAnsi="Times New Roman" w:eastAsia="Times New Roman"/>
                <w:b w:val="0"/>
                <w:i w:val="0"/>
                <w:sz w:val="22"/>
              </w:rPr>
              <w:t>Cash flow statement</w:t>
            </w:r>
          </w:p>
        </w:tc>
        <w:tc>
          <w:tcPr>
            <w:tcW w:type="dxa" w:w="1814"/>
          </w:tcPr>
          <w:p>
            <w:pPr>
              <w:jc w:val="left"/>
            </w:pPr>
            <w:r/>
            <w:r>
              <w:rPr>
                <w:rFonts w:ascii="Times New Roman" w:hAnsi="Times New Roman" w:eastAsia="Times New Roman"/>
                <w:b w:val="0"/>
                <w:i w:val="0"/>
                <w:sz w:val="22"/>
              </w:rPr>
              <w:t>2018–2025</w:t>
            </w:r>
          </w:p>
        </w:tc>
        <w:tc>
          <w:tcPr>
            <w:tcW w:type="dxa" w:w="1814"/>
          </w:tcPr>
          <w:p>
            <w:pPr>
              <w:jc w:val="left"/>
            </w:pPr>
            <w:r/>
            <w:r>
              <w:rPr>
                <w:rFonts w:ascii="Times New Roman" w:hAnsi="Times New Roman" w:eastAsia="Times New Roman"/>
                <w:b w:val="0"/>
                <w:i w:val="0"/>
                <w:sz w:val="22"/>
              </w:rPr>
              <w:t>Quarterly</w:t>
            </w:r>
          </w:p>
        </w:tc>
        <w:tc>
          <w:tcPr>
            <w:tcW w:type="dxa" w:w="1814"/>
          </w:tcPr>
          <w:p>
            <w:pPr>
              <w:jc w:val="left"/>
            </w:pPr>
            <w:r/>
            <w:r>
              <w:rPr>
                <w:rFonts w:ascii="Times New Roman" w:hAnsi="Times New Roman" w:eastAsia="Times New Roman"/>
                <w:b w:val="0"/>
                <w:i w:val="0"/>
                <w:sz w:val="22"/>
              </w:rPr>
              <w:t>Operating, investing, financing cash flows</w:t>
            </w:r>
          </w:p>
        </w:tc>
        <w:tc>
          <w:tcPr>
            <w:tcW w:type="dxa" w:w="1814"/>
          </w:tcPr>
          <w:p>
            <w:pPr>
              <w:jc w:val="left"/>
            </w:pPr>
            <w:r/>
            <w:r>
              <w:rPr>
                <w:rFonts w:ascii="Times New Roman" w:hAnsi="Times New Roman" w:eastAsia="Times New Roman"/>
                <w:b w:val="0"/>
                <w:i w:val="0"/>
                <w:sz w:val="22"/>
              </w:rPr>
              <w:t>~16,000 rows</w:t>
            </w:r>
          </w:p>
        </w:tc>
      </w:tr>
      <w:tr>
        <w:tc>
          <w:tcPr>
            <w:tcW w:type="dxa" w:w="1814"/>
          </w:tcPr>
          <w:p>
            <w:pPr>
              <w:jc w:val="left"/>
            </w:pPr>
            <w:r/>
            <w:r>
              <w:rPr>
                <w:rFonts w:ascii="Times New Roman" w:hAnsi="Times New Roman" w:eastAsia="Times New Roman"/>
                <w:b w:val="0"/>
                <w:i w:val="0"/>
                <w:sz w:val="22"/>
              </w:rPr>
              <w:t>Industry classification</w:t>
            </w:r>
          </w:p>
        </w:tc>
        <w:tc>
          <w:tcPr>
            <w:tcW w:type="dxa" w:w="1814"/>
          </w:tcPr>
          <w:p>
            <w:pPr>
              <w:jc w:val="left"/>
            </w:pPr>
            <w:r/>
            <w:r>
              <w:rPr>
                <w:rFonts w:ascii="Times New Roman" w:hAnsi="Times New Roman" w:eastAsia="Times New Roman"/>
                <w:b w:val="0"/>
                <w:i w:val="0"/>
                <w:sz w:val="22"/>
              </w:rPr>
              <w:t>Current</w:t>
            </w:r>
          </w:p>
        </w:tc>
        <w:tc>
          <w:tcPr>
            <w:tcW w:type="dxa" w:w="1814"/>
          </w:tcPr>
          <w:p>
            <w:pPr>
              <w:jc w:val="left"/>
            </w:pPr>
            <w:r/>
            <w:r>
              <w:rPr>
                <w:rFonts w:ascii="Times New Roman" w:hAnsi="Times New Roman" w:eastAsia="Times New Roman"/>
                <w:b w:val="0"/>
                <w:i w:val="0"/>
                <w:sz w:val="22"/>
              </w:rPr>
              <w:t>Static</w:t>
            </w:r>
          </w:p>
        </w:tc>
        <w:tc>
          <w:tcPr>
            <w:tcW w:type="dxa" w:w="1814"/>
          </w:tcPr>
          <w:p>
            <w:pPr>
              <w:jc w:val="left"/>
            </w:pPr>
            <w:r/>
            <w:r>
              <w:rPr>
                <w:rFonts w:ascii="Times New Roman" w:hAnsi="Times New Roman" w:eastAsia="Times New Roman"/>
                <w:b w:val="0"/>
                <w:i w:val="0"/>
                <w:sz w:val="22"/>
              </w:rPr>
              <w:t>ICB sector and sub-sector codes per symbol</w:t>
            </w:r>
          </w:p>
        </w:tc>
        <w:tc>
          <w:tcPr>
            <w:tcW w:type="dxa" w:w="1814"/>
          </w:tcPr>
          <w:p>
            <w:pPr>
              <w:jc w:val="left"/>
            </w:pPr>
            <w:r/>
            <w:r>
              <w:rPr>
                <w:rFonts w:ascii="Times New Roman" w:hAnsi="Times New Roman" w:eastAsia="Times New Roman"/>
                <w:b w:val="0"/>
                <w:i w:val="0"/>
                <w:sz w:val="22"/>
              </w:rPr>
              <w:t>412 symbols</w:t>
            </w:r>
          </w:p>
        </w:tc>
      </w:tr>
    </w:tbl>
    <w:p>
      <w:pPr>
        <w:spacing w:after="200" w:before="80" w:line="360" w:lineRule="auto"/>
        <w:jc w:val="center"/>
      </w:pPr>
      <w:bookmarkStart w:id="3" w:name="_Table_3_2"/>
      <w:r>
        <w:rPr>
          <w:rFonts w:ascii="Times New Roman" w:hAnsi="Times New Roman" w:eastAsia="Times New Roman"/>
          <w:b w:val="0"/>
          <w:i/>
          <w:sz w:val="22"/>
        </w:rPr>
        <w:t>Table 3.2: Dataset description.</w:t>
      </w:r>
      <w:bookmarkEnd w:id="3"/>
    </w:p>
    <w:p>
      <w:pPr>
        <w:spacing w:after="120" w:before="0" w:line="360" w:lineRule="auto"/>
        <w:ind w:firstLine="720"/>
        <w:jc w:val="both"/>
      </w:pPr>
      <w:r>
        <w:rPr>
          <w:rFonts w:ascii="Times New Roman" w:hAnsi="Times New Roman" w:eastAsia="Times New Roman"/>
          <w:b w:val="0"/>
          <w:i w:val="0"/>
          <w:sz w:val="26"/>
        </w:rPr>
        <w:t>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FiinPro or CafeF — which offer curated, subscription-based financial data feeds — the platform deliberately uses vnstock as a freely accessible, open-source data source to remain accessible to retail investors. This design choice requires an explicit validation layer to ensure analytical reliability.</w:t>
      </w:r>
    </w:p>
    <w:p>
      <w:pPr>
        <w:spacing w:after="120" w:before="0" w:line="360" w:lineRule="auto"/>
        <w:ind w:firstLine="720"/>
        <w:jc w:val="both"/>
      </w:pPr>
      <w:r>
        <w:rPr>
          <w:rFonts w:ascii="Times New Roman" w:hAnsi="Times New Roman" w:eastAsia="Times New Roman"/>
          <w:b w:val="0"/>
          <w:i w:val="0"/>
          <w:sz w:val="26"/>
        </w:rPr>
        <w:t>Key characteristics of raw data accessed via vnstock that require explicit handling include: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Corporate actions (splits, dividends):</w:t>
      </w:r>
      <w:r>
        <w:rPr>
          <w:rFonts w:ascii="Times New Roman" w:hAnsi="Times New Roman" w:eastAsia="Times New Roman"/>
          <w:b w:val="0"/>
          <w:i w:val="0"/>
          <w:sz w:val="26"/>
        </w:rPr>
        <w:t xml:space="preserve"> Require adjusted-price treatment to avoid spurious return calculations in long-term backtests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Trading halts and suspensions:</w:t>
      </w:r>
      <w:r>
        <w:rPr>
          <w:rFonts w:ascii="Times New Roman" w:hAnsi="Times New Roman" w:eastAsia="Times New Roman"/>
          <w:b w:val="0"/>
          <w:i w:val="0"/>
          <w:sz w:val="26"/>
        </w:rPr>
        <w:t xml:space="preserve"> Create gaps in time series for specific symbols that must be handled to prevent data leakage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T+2 settlement cycle</w:t>
      </w:r>
      <w:r>
        <w:rPr>
          <w:rFonts w:ascii="Times New Roman" w:hAnsi="Times New Roman" w:eastAsia="Times New Roman"/>
          <w:b w:val="0"/>
          <w:i w:val="0"/>
          <w:sz w:val="26"/>
        </w:rPr>
        <w:t xml:space="preserve"> (Vietnam Securities Depository, n.d.): Influences volume interpretation and position management assumptions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Daily price limits (±7%):</w:t>
      </w:r>
      <w:r>
        <w:rPr>
          <w:rFonts w:ascii="Times New Roman" w:hAnsi="Times New Roman" w:eastAsia="Times New Roman"/>
          <w:b w:val="0"/>
          <w:i w:val="0"/>
          <w:sz w:val="26"/>
        </w:rPr>
        <w:t xml:space="preserve"> Truncate return distributions and affect volatility and tail-risk estimation, distinct from international markets</w:t>
      </w:r>
    </w:p>
    <w:p>
      <w:pPr>
        <w:spacing w:after="120" w:before="0" w:line="360" w:lineRule="auto"/>
        <w:ind w:firstLine="720"/>
        <w:jc w:val="both"/>
      </w:pP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_Table_3_3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Table 3.3</w:t>
      </w:r>
      <w:r>
        <w:rPr>
          <w:rFonts w:ascii="Times New Roman" w:hAnsi="Times New Roman" w:eastAsia="Times New Roman"/>
          <w:b w:val="0"/>
          <w:i w:val="0"/>
          <w:sz w:val="26"/>
        </w:rPr>
        <w:fldChar w:fldCharType="end"/>
      </w:r>
      <w:r>
        <w:rPr>
          <w:rFonts w:ascii="Times New Roman" w:hAnsi="Times New Roman" w:eastAsia="Times New Roman"/>
          <w:b w:val="0"/>
          <w:i w:val="0"/>
          <w:sz w:val="26"/>
        </w:rPr>
        <w:t xml:space="preserve"> presents descriptive statistics for the OHLCV price series dataset collected from vnstock (Thinh Vu, 2023), characterising the data distribution prior to strategy analysis. Prices are expressed in Vietnamese Dong (VND); daily return is computed as $(P_t - P_{t-1})/P_{t-1}$; volume is measured in shares.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12"/>
        <w:gridCol w:w="1512"/>
        <w:gridCol w:w="1512"/>
        <w:gridCol w:w="1512"/>
        <w:gridCol w:w="1512"/>
        <w:gridCol w:w="1512"/>
      </w:tblGrid>
      <w:tr>
        <w:tc>
          <w:tcPr>
            <w:tcW w:type="dxa" w:w="1512"/>
            <w:shd w:fill="D9E2F3" w:val="clear"/>
          </w:tcPr>
          <w:p>
            <w:pPr>
              <w:jc w:val="center"/>
            </w:pPr>
            <w:r/>
            <w:r>
              <w:rPr>
                <w:rFonts w:ascii="Times New Roman" w:hAnsi="Times New Roman" w:eastAsia="Times New Roman"/>
                <w:b/>
                <w:i w:val="0"/>
                <w:sz w:val="22"/>
              </w:rPr>
              <w:t>Variable</w:t>
            </w:r>
          </w:p>
        </w:tc>
        <w:tc>
          <w:tcPr>
            <w:tcW w:type="dxa" w:w="1512"/>
            <w:shd w:fill="D9E2F3" w:val="clear"/>
          </w:tcPr>
          <w:p>
            <w:pPr>
              <w:jc w:val="center"/>
            </w:pPr>
            <w:r/>
            <w:r>
              <w:rPr>
                <w:rFonts w:ascii="Times New Roman" w:hAnsi="Times New Roman" w:eastAsia="Times New Roman"/>
                <w:b/>
                <w:i w:val="0"/>
                <w:sz w:val="22"/>
              </w:rPr>
              <w:t>Obs</w:t>
            </w:r>
          </w:p>
        </w:tc>
        <w:tc>
          <w:tcPr>
            <w:tcW w:type="dxa" w:w="1512"/>
            <w:shd w:fill="D9E2F3" w:val="clear"/>
          </w:tcPr>
          <w:p>
            <w:pPr>
              <w:jc w:val="center"/>
            </w:pPr>
            <w:r/>
            <w:r>
              <w:rPr>
                <w:rFonts w:ascii="Times New Roman" w:hAnsi="Times New Roman" w:eastAsia="Times New Roman"/>
                <w:b/>
                <w:i w:val="0"/>
                <w:sz w:val="22"/>
              </w:rPr>
              <w:t>Mean</w:t>
            </w:r>
          </w:p>
        </w:tc>
        <w:tc>
          <w:tcPr>
            <w:tcW w:type="dxa" w:w="1512"/>
            <w:shd w:fill="D9E2F3" w:val="clear"/>
          </w:tcPr>
          <w:p>
            <w:pPr>
              <w:jc w:val="center"/>
            </w:pPr>
            <w:r/>
            <w:r>
              <w:rPr>
                <w:rFonts w:ascii="Times New Roman" w:hAnsi="Times New Roman" w:eastAsia="Times New Roman"/>
                <w:b/>
                <w:i w:val="0"/>
                <w:sz w:val="22"/>
              </w:rPr>
              <w:t>Std Dev</w:t>
            </w:r>
          </w:p>
        </w:tc>
        <w:tc>
          <w:tcPr>
            <w:tcW w:type="dxa" w:w="1512"/>
            <w:shd w:fill="D9E2F3" w:val="clear"/>
          </w:tcPr>
          <w:p>
            <w:pPr>
              <w:jc w:val="center"/>
            </w:pPr>
            <w:r/>
            <w:r>
              <w:rPr>
                <w:rFonts w:ascii="Times New Roman" w:hAnsi="Times New Roman" w:eastAsia="Times New Roman"/>
                <w:b/>
                <w:i w:val="0"/>
                <w:sz w:val="22"/>
              </w:rPr>
              <w:t>Min</w:t>
            </w:r>
          </w:p>
        </w:tc>
        <w:tc>
          <w:tcPr>
            <w:tcW w:type="dxa" w:w="1512"/>
            <w:shd w:fill="D9E2F3" w:val="clear"/>
          </w:tcPr>
          <w:p>
            <w:pPr>
              <w:jc w:val="center"/>
            </w:pPr>
            <w:r/>
            <w:r>
              <w:rPr>
                <w:rFonts w:ascii="Times New Roman" w:hAnsi="Times New Roman" w:eastAsia="Times New Roman"/>
                <w:b/>
                <w:i w:val="0"/>
                <w:sz w:val="22"/>
              </w:rPr>
              <w:t>Max</w:t>
            </w:r>
          </w:p>
        </w:tc>
      </w:tr>
      <w:tr>
        <w:tc>
          <w:tcPr>
            <w:tcW w:type="dxa" w:w="1512"/>
          </w:tcPr>
          <w:p>
            <w:pPr>
              <w:jc w:val="left"/>
            </w:pPr>
            <w:r/>
            <w:r>
              <w:rPr>
                <w:rFonts w:ascii="Times New Roman" w:hAnsi="Times New Roman" w:eastAsia="Times New Roman"/>
                <w:b w:val="0"/>
                <w:i w:val="0"/>
                <w:sz w:val="22"/>
              </w:rPr>
              <w:t>Open (thousand VND)</w:t>
            </w:r>
          </w:p>
        </w:tc>
        <w:tc>
          <w:tcPr>
            <w:tcW w:type="dxa" w:w="1512"/>
          </w:tcPr>
          <w:p>
            <w:pPr>
              <w:jc w:val="left"/>
            </w:pPr>
            <w:r/>
            <w:r>
              <w:rPr>
                <w:rFonts w:ascii="Times New Roman" w:hAnsi="Times New Roman" w:eastAsia="Times New Roman"/>
                <w:b w:val="0"/>
                <w:i w:val="0"/>
                <w:sz w:val="22"/>
              </w:rPr>
              <w:t>768,718</w:t>
            </w:r>
          </w:p>
        </w:tc>
        <w:tc>
          <w:tcPr>
            <w:tcW w:type="dxa" w:w="1512"/>
          </w:tcPr>
          <w:p>
            <w:pPr>
              <w:jc w:val="left"/>
            </w:pPr>
            <w:r/>
            <w:r>
              <w:rPr>
                <w:rFonts w:ascii="Times New Roman" w:hAnsi="Times New Roman" w:eastAsia="Times New Roman"/>
                <w:b w:val="0"/>
                <w:i w:val="0"/>
                <w:sz w:val="22"/>
              </w:rPr>
              <w:t>20.28</w:t>
            </w:r>
          </w:p>
        </w:tc>
        <w:tc>
          <w:tcPr>
            <w:tcW w:type="dxa" w:w="1512"/>
          </w:tcPr>
          <w:p>
            <w:pPr>
              <w:jc w:val="left"/>
            </w:pPr>
            <w:r/>
            <w:r>
              <w:rPr>
                <w:rFonts w:ascii="Times New Roman" w:hAnsi="Times New Roman" w:eastAsia="Times New Roman"/>
                <w:b w:val="0"/>
                <w:i w:val="0"/>
                <w:sz w:val="22"/>
              </w:rPr>
              <w:t>21.39</w:t>
            </w:r>
          </w:p>
        </w:tc>
        <w:tc>
          <w:tcPr>
            <w:tcW w:type="dxa" w:w="1512"/>
          </w:tcPr>
          <w:p>
            <w:pPr>
              <w:jc w:val="left"/>
            </w:pPr>
            <w:r/>
            <w:r>
              <w:rPr>
                <w:rFonts w:ascii="Times New Roman" w:hAnsi="Times New Roman" w:eastAsia="Times New Roman"/>
                <w:b w:val="0"/>
                <w:i w:val="0"/>
                <w:sz w:val="22"/>
              </w:rPr>
              <w:t>0.40</w:t>
            </w:r>
          </w:p>
        </w:tc>
        <w:tc>
          <w:tcPr>
            <w:tcW w:type="dxa" w:w="1512"/>
          </w:tcPr>
          <w:p>
            <w:pPr>
              <w:jc w:val="left"/>
            </w:pPr>
            <w:r/>
            <w:r>
              <w:rPr>
                <w:rFonts w:ascii="Times New Roman" w:hAnsi="Times New Roman" w:eastAsia="Times New Roman"/>
                <w:b w:val="0"/>
                <w:i w:val="0"/>
                <w:sz w:val="22"/>
              </w:rPr>
              <w:t>358.22</w:t>
            </w:r>
          </w:p>
        </w:tc>
      </w:tr>
      <w:tr>
        <w:tc>
          <w:tcPr>
            <w:tcW w:type="dxa" w:w="1512"/>
          </w:tcPr>
          <w:p>
            <w:pPr>
              <w:jc w:val="left"/>
            </w:pPr>
            <w:r/>
            <w:r>
              <w:rPr>
                <w:rFonts w:ascii="Times New Roman" w:hAnsi="Times New Roman" w:eastAsia="Times New Roman"/>
                <w:b w:val="0"/>
                <w:i w:val="0"/>
                <w:sz w:val="22"/>
              </w:rPr>
              <w:t>High (thousand VND)</w:t>
            </w:r>
          </w:p>
        </w:tc>
        <w:tc>
          <w:tcPr>
            <w:tcW w:type="dxa" w:w="1512"/>
          </w:tcPr>
          <w:p>
            <w:pPr>
              <w:jc w:val="left"/>
            </w:pPr>
            <w:r/>
            <w:r>
              <w:rPr>
                <w:rFonts w:ascii="Times New Roman" w:hAnsi="Times New Roman" w:eastAsia="Times New Roman"/>
                <w:b w:val="0"/>
                <w:i w:val="0"/>
                <w:sz w:val="22"/>
              </w:rPr>
              <w:t>768,718</w:t>
            </w:r>
          </w:p>
        </w:tc>
        <w:tc>
          <w:tcPr>
            <w:tcW w:type="dxa" w:w="1512"/>
          </w:tcPr>
          <w:p>
            <w:pPr>
              <w:jc w:val="left"/>
            </w:pPr>
            <w:r/>
            <w:r>
              <w:rPr>
                <w:rFonts w:ascii="Times New Roman" w:hAnsi="Times New Roman" w:eastAsia="Times New Roman"/>
                <w:b w:val="0"/>
                <w:i w:val="0"/>
                <w:sz w:val="22"/>
              </w:rPr>
              <w:t>20.54</w:t>
            </w:r>
          </w:p>
        </w:tc>
        <w:tc>
          <w:tcPr>
            <w:tcW w:type="dxa" w:w="1512"/>
          </w:tcPr>
          <w:p>
            <w:pPr>
              <w:jc w:val="left"/>
            </w:pPr>
            <w:r/>
            <w:r>
              <w:rPr>
                <w:rFonts w:ascii="Times New Roman" w:hAnsi="Times New Roman" w:eastAsia="Times New Roman"/>
                <w:b w:val="0"/>
                <w:i w:val="0"/>
                <w:sz w:val="22"/>
              </w:rPr>
              <w:t>21.62</w:t>
            </w:r>
          </w:p>
        </w:tc>
        <w:tc>
          <w:tcPr>
            <w:tcW w:type="dxa" w:w="1512"/>
          </w:tcPr>
          <w:p>
            <w:pPr>
              <w:jc w:val="left"/>
            </w:pPr>
            <w:r/>
            <w:r>
              <w:rPr>
                <w:rFonts w:ascii="Times New Roman" w:hAnsi="Times New Roman" w:eastAsia="Times New Roman"/>
                <w:b w:val="0"/>
                <w:i w:val="0"/>
                <w:sz w:val="22"/>
              </w:rPr>
              <w:t>0.40</w:t>
            </w:r>
          </w:p>
        </w:tc>
        <w:tc>
          <w:tcPr>
            <w:tcW w:type="dxa" w:w="1512"/>
          </w:tcPr>
          <w:p>
            <w:pPr>
              <w:jc w:val="left"/>
            </w:pPr>
            <w:r/>
            <w:r>
              <w:rPr>
                <w:rFonts w:ascii="Times New Roman" w:hAnsi="Times New Roman" w:eastAsia="Times New Roman"/>
                <w:b w:val="0"/>
                <w:i w:val="0"/>
                <w:sz w:val="22"/>
              </w:rPr>
              <w:t>358.22</w:t>
            </w:r>
          </w:p>
        </w:tc>
      </w:tr>
      <w:tr>
        <w:tc>
          <w:tcPr>
            <w:tcW w:type="dxa" w:w="1512"/>
          </w:tcPr>
          <w:p>
            <w:pPr>
              <w:jc w:val="left"/>
            </w:pPr>
            <w:r/>
            <w:r>
              <w:rPr>
                <w:rFonts w:ascii="Times New Roman" w:hAnsi="Times New Roman" w:eastAsia="Times New Roman"/>
                <w:b w:val="0"/>
                <w:i w:val="0"/>
                <w:sz w:val="22"/>
              </w:rPr>
              <w:t>Low (thousand VND)</w:t>
            </w:r>
          </w:p>
        </w:tc>
        <w:tc>
          <w:tcPr>
            <w:tcW w:type="dxa" w:w="1512"/>
          </w:tcPr>
          <w:p>
            <w:pPr>
              <w:jc w:val="left"/>
            </w:pPr>
            <w:r/>
            <w:r>
              <w:rPr>
                <w:rFonts w:ascii="Times New Roman" w:hAnsi="Times New Roman" w:eastAsia="Times New Roman"/>
                <w:b w:val="0"/>
                <w:i w:val="0"/>
                <w:sz w:val="22"/>
              </w:rPr>
              <w:t>768,718</w:t>
            </w:r>
          </w:p>
        </w:tc>
        <w:tc>
          <w:tcPr>
            <w:tcW w:type="dxa" w:w="1512"/>
          </w:tcPr>
          <w:p>
            <w:pPr>
              <w:jc w:val="left"/>
            </w:pPr>
            <w:r/>
            <w:r>
              <w:rPr>
                <w:rFonts w:ascii="Times New Roman" w:hAnsi="Times New Roman" w:eastAsia="Times New Roman"/>
                <w:b w:val="0"/>
                <w:i w:val="0"/>
                <w:sz w:val="22"/>
              </w:rPr>
              <w:t>20.00</w:t>
            </w:r>
          </w:p>
        </w:tc>
        <w:tc>
          <w:tcPr>
            <w:tcW w:type="dxa" w:w="1512"/>
          </w:tcPr>
          <w:p>
            <w:pPr>
              <w:jc w:val="left"/>
            </w:pPr>
            <w:r/>
            <w:r>
              <w:rPr>
                <w:rFonts w:ascii="Times New Roman" w:hAnsi="Times New Roman" w:eastAsia="Times New Roman"/>
                <w:b w:val="0"/>
                <w:i w:val="0"/>
                <w:sz w:val="22"/>
              </w:rPr>
              <w:t>21.14</w:t>
            </w:r>
          </w:p>
        </w:tc>
        <w:tc>
          <w:tcPr>
            <w:tcW w:type="dxa" w:w="1512"/>
          </w:tcPr>
          <w:p>
            <w:pPr>
              <w:jc w:val="left"/>
            </w:pPr>
            <w:r/>
            <w:r>
              <w:rPr>
                <w:rFonts w:ascii="Times New Roman" w:hAnsi="Times New Roman" w:eastAsia="Times New Roman"/>
                <w:b w:val="0"/>
                <w:i w:val="0"/>
                <w:sz w:val="22"/>
              </w:rPr>
              <w:t>0.30</w:t>
            </w:r>
          </w:p>
        </w:tc>
        <w:tc>
          <w:tcPr>
            <w:tcW w:type="dxa" w:w="1512"/>
          </w:tcPr>
          <w:p>
            <w:pPr>
              <w:jc w:val="left"/>
            </w:pPr>
            <w:r/>
            <w:r>
              <w:rPr>
                <w:rFonts w:ascii="Times New Roman" w:hAnsi="Times New Roman" w:eastAsia="Times New Roman"/>
                <w:b w:val="0"/>
                <w:i w:val="0"/>
                <w:sz w:val="22"/>
              </w:rPr>
              <w:t>334.98</w:t>
            </w:r>
          </w:p>
        </w:tc>
      </w:tr>
      <w:tr>
        <w:tc>
          <w:tcPr>
            <w:tcW w:type="dxa" w:w="1512"/>
          </w:tcPr>
          <w:p>
            <w:pPr>
              <w:jc w:val="left"/>
            </w:pPr>
            <w:r/>
            <w:r>
              <w:rPr>
                <w:rFonts w:ascii="Times New Roman" w:hAnsi="Times New Roman" w:eastAsia="Times New Roman"/>
                <w:b w:val="0"/>
                <w:i w:val="0"/>
                <w:sz w:val="22"/>
              </w:rPr>
              <w:t>Close (thousand VND)</w:t>
            </w:r>
          </w:p>
        </w:tc>
        <w:tc>
          <w:tcPr>
            <w:tcW w:type="dxa" w:w="1512"/>
          </w:tcPr>
          <w:p>
            <w:pPr>
              <w:jc w:val="left"/>
            </w:pPr>
            <w:r/>
            <w:r>
              <w:rPr>
                <w:rFonts w:ascii="Times New Roman" w:hAnsi="Times New Roman" w:eastAsia="Times New Roman"/>
                <w:b w:val="0"/>
                <w:i w:val="0"/>
                <w:sz w:val="22"/>
              </w:rPr>
              <w:t>768,718</w:t>
            </w:r>
          </w:p>
        </w:tc>
        <w:tc>
          <w:tcPr>
            <w:tcW w:type="dxa" w:w="1512"/>
          </w:tcPr>
          <w:p>
            <w:pPr>
              <w:jc w:val="left"/>
            </w:pPr>
            <w:r/>
            <w:r>
              <w:rPr>
                <w:rFonts w:ascii="Times New Roman" w:hAnsi="Times New Roman" w:eastAsia="Times New Roman"/>
                <w:b w:val="0"/>
                <w:i w:val="0"/>
                <w:sz w:val="22"/>
              </w:rPr>
              <w:t>20.29</w:t>
            </w:r>
          </w:p>
        </w:tc>
        <w:tc>
          <w:tcPr>
            <w:tcW w:type="dxa" w:w="1512"/>
          </w:tcPr>
          <w:p>
            <w:pPr>
              <w:jc w:val="left"/>
            </w:pPr>
            <w:r/>
            <w:r>
              <w:rPr>
                <w:rFonts w:ascii="Times New Roman" w:hAnsi="Times New Roman" w:eastAsia="Times New Roman"/>
                <w:b w:val="0"/>
                <w:i w:val="0"/>
                <w:sz w:val="22"/>
              </w:rPr>
              <w:t>21.40</w:t>
            </w:r>
          </w:p>
        </w:tc>
        <w:tc>
          <w:tcPr>
            <w:tcW w:type="dxa" w:w="1512"/>
          </w:tcPr>
          <w:p>
            <w:pPr>
              <w:jc w:val="left"/>
            </w:pPr>
            <w:r/>
            <w:r>
              <w:rPr>
                <w:rFonts w:ascii="Times New Roman" w:hAnsi="Times New Roman" w:eastAsia="Times New Roman"/>
                <w:b w:val="0"/>
                <w:i w:val="0"/>
                <w:sz w:val="22"/>
              </w:rPr>
              <w:t>0.30</w:t>
            </w:r>
          </w:p>
        </w:tc>
        <w:tc>
          <w:tcPr>
            <w:tcW w:type="dxa" w:w="1512"/>
          </w:tcPr>
          <w:p>
            <w:pPr>
              <w:jc w:val="left"/>
            </w:pPr>
            <w:r/>
            <w:r>
              <w:rPr>
                <w:rFonts w:ascii="Times New Roman" w:hAnsi="Times New Roman" w:eastAsia="Times New Roman"/>
                <w:b w:val="0"/>
                <w:i w:val="0"/>
                <w:sz w:val="22"/>
              </w:rPr>
              <w:t>334.98</w:t>
            </w:r>
          </w:p>
        </w:tc>
      </w:tr>
      <w:tr>
        <w:tc>
          <w:tcPr>
            <w:tcW w:type="dxa" w:w="1512"/>
          </w:tcPr>
          <w:p>
            <w:pPr>
              <w:jc w:val="left"/>
            </w:pPr>
            <w:r/>
            <w:r>
              <w:rPr>
                <w:rFonts w:ascii="Times New Roman" w:hAnsi="Times New Roman" w:eastAsia="Times New Roman"/>
                <w:b w:val="0"/>
                <w:i w:val="0"/>
                <w:sz w:val="22"/>
              </w:rPr>
              <w:t>Volume (shares)</w:t>
            </w:r>
          </w:p>
        </w:tc>
        <w:tc>
          <w:tcPr>
            <w:tcW w:type="dxa" w:w="1512"/>
          </w:tcPr>
          <w:p>
            <w:pPr>
              <w:jc w:val="left"/>
            </w:pPr>
            <w:r/>
            <w:r>
              <w:rPr>
                <w:rFonts w:ascii="Times New Roman" w:hAnsi="Times New Roman" w:eastAsia="Times New Roman"/>
                <w:b w:val="0"/>
                <w:i w:val="0"/>
                <w:sz w:val="22"/>
              </w:rPr>
              <w:t>768,718</w:t>
            </w:r>
          </w:p>
        </w:tc>
        <w:tc>
          <w:tcPr>
            <w:tcW w:type="dxa" w:w="1512"/>
          </w:tcPr>
          <w:p>
            <w:pPr>
              <w:jc w:val="left"/>
            </w:pPr>
            <w:r/>
            <w:r>
              <w:rPr>
                <w:rFonts w:ascii="Times New Roman" w:hAnsi="Times New Roman" w:eastAsia="Times New Roman"/>
                <w:b w:val="0"/>
                <w:i w:val="0"/>
                <w:sz w:val="22"/>
              </w:rPr>
              <w:t>1,307,326</w:t>
            </w:r>
          </w:p>
        </w:tc>
        <w:tc>
          <w:tcPr>
            <w:tcW w:type="dxa" w:w="1512"/>
          </w:tcPr>
          <w:p>
            <w:pPr>
              <w:jc w:val="left"/>
            </w:pPr>
            <w:r/>
            <w:r>
              <w:rPr>
                <w:rFonts w:ascii="Times New Roman" w:hAnsi="Times New Roman" w:eastAsia="Times New Roman"/>
                <w:b w:val="0"/>
                <w:i w:val="0"/>
                <w:sz w:val="22"/>
              </w:rPr>
              <w:t>4,290,816</w:t>
            </w:r>
          </w:p>
        </w:tc>
        <w:tc>
          <w:tcPr>
            <w:tcW w:type="dxa" w:w="1512"/>
          </w:tcPr>
          <w:p>
            <w:pPr>
              <w:jc w:val="left"/>
            </w:pPr>
            <w:r/>
            <w:r>
              <w:rPr>
                <w:rFonts w:ascii="Times New Roman" w:hAnsi="Times New Roman" w:eastAsia="Times New Roman"/>
                <w:b w:val="0"/>
                <w:i w:val="0"/>
                <w:sz w:val="22"/>
              </w:rPr>
              <w:t>0</w:t>
            </w:r>
          </w:p>
        </w:tc>
        <w:tc>
          <w:tcPr>
            <w:tcW w:type="dxa" w:w="1512"/>
          </w:tcPr>
          <w:p>
            <w:pPr>
              <w:jc w:val="left"/>
            </w:pPr>
            <w:r/>
            <w:r>
              <w:rPr>
                <w:rFonts w:ascii="Times New Roman" w:hAnsi="Times New Roman" w:eastAsia="Times New Roman"/>
                <w:b w:val="0"/>
                <w:i w:val="0"/>
                <w:sz w:val="22"/>
              </w:rPr>
              <w:t>249,760,712</w:t>
            </w:r>
          </w:p>
        </w:tc>
      </w:tr>
      <w:tr>
        <w:tc>
          <w:tcPr>
            <w:tcW w:type="dxa" w:w="1512"/>
          </w:tcPr>
          <w:p>
            <w:pPr>
              <w:jc w:val="left"/>
            </w:pPr>
            <w:r/>
            <w:r>
              <w:rPr>
                <w:rFonts w:ascii="Times New Roman" w:hAnsi="Times New Roman" w:eastAsia="Times New Roman"/>
                <w:b w:val="0"/>
                <w:i w:val="0"/>
                <w:sz w:val="22"/>
              </w:rPr>
              <w:t>Daily return (%)</w:t>
            </w:r>
          </w:p>
        </w:tc>
        <w:tc>
          <w:tcPr>
            <w:tcW w:type="dxa" w:w="1512"/>
          </w:tcPr>
          <w:p>
            <w:pPr>
              <w:jc w:val="left"/>
            </w:pPr>
            <w:r/>
            <w:r>
              <w:rPr>
                <w:rFonts w:ascii="Times New Roman" w:hAnsi="Times New Roman" w:eastAsia="Times New Roman"/>
                <w:b w:val="0"/>
                <w:i w:val="0"/>
                <w:sz w:val="22"/>
              </w:rPr>
              <w:t>768,306</w:t>
            </w:r>
          </w:p>
        </w:tc>
        <w:tc>
          <w:tcPr>
            <w:tcW w:type="dxa" w:w="1512"/>
          </w:tcPr>
          <w:p>
            <w:pPr>
              <w:jc w:val="left"/>
            </w:pPr>
            <w:r/>
            <w:r>
              <w:rPr>
                <w:rFonts w:ascii="Times New Roman" w:hAnsi="Times New Roman" w:eastAsia="Times New Roman"/>
                <w:b w:val="0"/>
                <w:i w:val="0"/>
                <w:sz w:val="22"/>
              </w:rPr>
              <w:t>0.066</w:t>
            </w:r>
          </w:p>
        </w:tc>
        <w:tc>
          <w:tcPr>
            <w:tcW w:type="dxa" w:w="1512"/>
          </w:tcPr>
          <w:p>
            <w:pPr>
              <w:jc w:val="left"/>
            </w:pPr>
            <w:r/>
            <w:r>
              <w:rPr>
                <w:rFonts w:ascii="Times New Roman" w:hAnsi="Times New Roman" w:eastAsia="Times New Roman"/>
                <w:b w:val="0"/>
                <w:i w:val="0"/>
                <w:sz w:val="22"/>
              </w:rPr>
              <w:t>2.704</w:t>
            </w:r>
          </w:p>
        </w:tc>
        <w:tc>
          <w:tcPr>
            <w:tcW w:type="dxa" w:w="1512"/>
          </w:tcPr>
          <w:p>
            <w:pPr>
              <w:jc w:val="left"/>
            </w:pPr>
            <w:r/>
            <w:r>
              <w:rPr>
                <w:rFonts w:ascii="Times New Roman" w:hAnsi="Times New Roman" w:eastAsia="Times New Roman"/>
                <w:b w:val="0"/>
                <w:i w:val="0"/>
                <w:sz w:val="22"/>
              </w:rPr>
              <w:t>−40.08</w:t>
            </w:r>
          </w:p>
        </w:tc>
        <w:tc>
          <w:tcPr>
            <w:tcW w:type="dxa" w:w="1512"/>
          </w:tcPr>
          <w:p>
            <w:pPr>
              <w:jc w:val="left"/>
            </w:pPr>
            <w:r/>
            <w:r>
              <w:rPr>
                <w:rFonts w:ascii="Times New Roman" w:hAnsi="Times New Roman" w:eastAsia="Times New Roman"/>
                <w:b w:val="0"/>
                <w:i w:val="0"/>
                <w:sz w:val="22"/>
              </w:rPr>
              <w:t>66.67</w:t>
            </w:r>
          </w:p>
        </w:tc>
      </w:tr>
    </w:tbl>
    <w:p>
      <w:pPr>
        <w:spacing w:after="200" w:before="80" w:line="360" w:lineRule="auto"/>
        <w:jc w:val="center"/>
      </w:pPr>
      <w:bookmarkStart w:id="4" w:name="_Table_3_3"/>
      <w:r>
        <w:rPr>
          <w:rFonts w:ascii="Times New Roman" w:hAnsi="Times New Roman" w:eastAsia="Times New Roman"/>
          <w:b w:val="0"/>
          <w:i/>
          <w:sz w:val="22"/>
        </w:rPr>
        <w:t>Table 3.3: Descriptive statistics of the OHLCV dataset (HOSE, 2018–2025, sourced via vnstock).</w:t>
      </w:r>
      <w:bookmarkEnd w:id="4"/>
    </w:p>
    <w:p>
      <w:pPr>
        <w:spacing w:after="120" w:before="0" w:line="360" w:lineRule="auto"/>
        <w:ind w:firstLine="720"/>
        <w:jc w:val="both"/>
      </w:pPr>
      <w:r>
        <w:rPr>
          <w:rFonts w:ascii="Times New Roman" w:hAnsi="Times New Roman" w:eastAsia="Times New Roman"/>
          <w:b w:val="0"/>
          <w:i/>
          <w:sz w:val="26"/>
        </w:rPr>
        <w:t>Note: Prices are stored by vnstock in thousands of Vietnamese Dong (VND). The extreme daily return values (−40% and +66%) occur in early-period data before the ±7% daily price limit was uniformly enforced on HOSE, and for stocks returning to trading after suspension.</w:t>
      </w:r>
    </w:p>
    <w:p>
      <w:pPr>
        <w:spacing w:before="240" w:after="120" w:line="360" w:lineRule="auto"/>
        <w:jc w:val="left"/>
        <w:outlineLvl w:val="1"/>
      </w:pPr>
      <w:r>
        <w:rPr>
          <w:rFonts w:ascii="Times New Roman" w:hAnsi="Times New Roman" w:eastAsia="Times New Roman"/>
          <w:b/>
          <w:i w:val="0"/>
          <w:color w:val="000000"/>
          <w:sz w:val="28"/>
        </w:rPr>
        <w:t>3.3 Quantitative Methods</w:t>
      </w:r>
    </w:p>
    <w:p>
      <w:pPr>
        <w:spacing w:after="120" w:before="0" w:line="360" w:lineRule="auto"/>
        <w:ind w:firstLine="720"/>
        <w:jc w:val="both"/>
      </w:pPr>
      <w:r>
        <w:rPr>
          <w:rFonts w:ascii="Times New Roman" w:hAnsi="Times New Roman" w:eastAsia="Times New Roman"/>
          <w:b w:val="0"/>
          <w:i w:val="0"/>
          <w:sz w:val="26"/>
        </w:rPr>
        <w:t>The platform implements established quantitative finance methods adapted for the Vietnamese market context.</w:t>
      </w:r>
    </w:p>
    <w:p>
      <w:pPr>
        <w:spacing w:after="120" w:before="0" w:line="360" w:lineRule="auto"/>
        <w:ind w:firstLine="720"/>
        <w:jc w:val="both"/>
      </w:pPr>
      <w:r>
        <w:rPr>
          <w:rFonts w:ascii="Times New Roman" w:hAnsi="Times New Roman" w:eastAsia="Times New Roman"/>
          <w:b/>
          <w:i w:val="0"/>
          <w:sz w:val="26"/>
        </w:rPr>
        <w:t>Technical analysis.</w:t>
      </w:r>
      <w:r>
        <w:rPr>
          <w:rFonts w:ascii="Times New Roman" w:hAnsi="Times New Roman" w:eastAsia="Times New Roman"/>
          <w:b w:val="0"/>
          <w:i w:val="0"/>
          <w:sz w:val="26"/>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pPr>
        <w:spacing w:after="120" w:before="0" w:line="360" w:lineRule="auto"/>
        <w:ind w:firstLine="720"/>
        <w:jc w:val="both"/>
      </w:pPr>
      <w:r>
        <w:rPr>
          <w:rFonts w:ascii="Times New Roman" w:hAnsi="Times New Roman" w:eastAsia="Times New Roman"/>
          <w:b/>
          <w:i w:val="0"/>
          <w:sz w:val="26"/>
        </w:rPr>
        <w:t>Backtesting.</w:t>
      </w:r>
      <w:r>
        <w:rPr>
          <w:rFonts w:ascii="Times New Roman" w:hAnsi="Times New Roman" w:eastAsia="Times New Roman"/>
          <w:b w:val="0"/>
          <w:i w:val="0"/>
          <w:sz w:val="26"/>
        </w:rPr>
        <w:t xml:space="preserve"> Strategy evaluation uses a next-bar execution model by default — signals generated at bar </w:t>
      </w:r>
      <w:r>
        <w:rPr>
          <w:rFonts w:ascii="Times New Roman" w:hAnsi="Times New Roman" w:eastAsia="Times New Roman"/>
          <w:b w:val="0"/>
          <w:i/>
          <w:sz w:val="26"/>
        </w:rPr>
        <w:t>t</w:t>
      </w:r>
      <w:r>
        <w:rPr>
          <w:rFonts w:ascii="Times New Roman" w:hAnsi="Times New Roman" w:eastAsia="Times New Roman"/>
          <w:b w:val="0"/>
          <w:i w:val="0"/>
          <w:sz w:val="26"/>
        </w:rPr>
        <w:t xml:space="preserve"> are executed at the open of bar </w:t>
      </w:r>
      <w:r>
        <w:rPr>
          <w:rFonts w:ascii="Times New Roman" w:hAnsi="Times New Roman" w:eastAsia="Times New Roman"/>
          <w:b w:val="0"/>
          <w:i/>
          <w:sz w:val="26"/>
        </w:rPr>
        <w:t>t+1</w:t>
      </w:r>
      <w:r>
        <w:rPr>
          <w:rFonts w:ascii="Times New Roman" w:hAnsi="Times New Roman" w:eastAsia="Times New Roman"/>
          <w:b w:val="0"/>
          <w:i w:val="0"/>
          <w:sz w:val="26"/>
        </w:rPr>
        <w:t xml:space="preserve"> — to reduce look-ahead bias (Bailey et al., 2016). Transaction costs (brokerage fee, sell tax, slippage) are modelled explicitly, and performance is reported as both gross (before costs) and net (after costs) to enable attribution.</w:t>
      </w:r>
    </w:p>
    <w:p>
      <w:pPr>
        <w:spacing w:after="120" w:before="0" w:line="360" w:lineRule="auto"/>
        <w:ind w:firstLine="720"/>
        <w:jc w:val="both"/>
      </w:pPr>
      <w:r>
        <w:rPr>
          <w:rFonts w:ascii="Times New Roman" w:hAnsi="Times New Roman" w:eastAsia="Times New Roman"/>
          <w:b w:val="0"/>
          <w:i w:val="0"/>
          <w:sz w:val="26"/>
        </w:rPr>
        <w:t>Key performance metrics are computed as follows. The daily return of an asset is:</w:t>
      </w:r>
    </w:p>
    <w:p>
      <w:pPr>
        <w:spacing w:after="120" w:before="0" w:line="360" w:lineRule="auto"/>
        <w:ind w:firstLine="720"/>
        <w:jc w:val="both"/>
      </w:pPr>
      <w:r>
        <w:rPr>
          <w:rFonts w:ascii="Times New Roman" w:hAnsi="Times New Roman" w:eastAsia="Times New Roman"/>
          <w:b w:val="0"/>
          <w:i w:val="0"/>
          <w:sz w:val="26"/>
        </w:rPr>
        <w:t>$$r_t = \frac{P_t - P_{t-1}}{P_{t-1}}$$</w:t>
      </w:r>
    </w:p>
    <w:p>
      <w:pPr>
        <w:spacing w:after="120" w:before="0" w:line="360" w:lineRule="auto"/>
        <w:ind w:firstLine="720"/>
        <w:jc w:val="both"/>
      </w:pPr>
      <w:r>
        <w:rPr>
          <w:rFonts w:ascii="Times New Roman" w:hAnsi="Times New Roman" w:eastAsia="Times New Roman"/>
          <w:b w:val="0"/>
          <w:i w:val="0"/>
          <w:sz w:val="26"/>
        </w:rPr>
        <w:t>where $P_t$ is the adjusted closing price at time $t$. The annualised Sharpe Ratio measures risk-adjusted return:</w:t>
      </w:r>
    </w:p>
    <w:p>
      <w:pPr>
        <w:spacing w:after="120" w:before="0" w:line="360" w:lineRule="auto"/>
        <w:ind w:firstLine="720"/>
        <w:jc w:val="both"/>
      </w:pPr>
      <w:r>
        <w:rPr>
          <w:rFonts w:ascii="Times New Roman" w:hAnsi="Times New Roman" w:eastAsia="Times New Roman"/>
          <w:b w:val="0"/>
          <w:i w:val="0"/>
          <w:sz w:val="26"/>
        </w:rPr>
        <w:t>$$SR = \frac{\bar{r}_p - r_f}{\sigma_p} \times \sqrt{252}$$</w:t>
      </w:r>
    </w:p>
    <w:p>
      <w:pPr>
        <w:spacing w:after="120" w:before="0" w:line="360" w:lineRule="auto"/>
        <w:ind w:firstLine="720"/>
        <w:jc w:val="both"/>
      </w:pPr>
      <w:r>
        <w:rPr>
          <w:rFonts w:ascii="Times New Roman" w:hAnsi="Times New Roman" w:eastAsia="Times New Roman"/>
          <w:b w:val="0"/>
          <w:i w:val="0"/>
          <w:sz w:val="26"/>
        </w:rPr>
        <w:t>where $\bar{r}_p$ is the mean daily portfolio return, $r_f$ is the risk-free rate, and $\sigma_p$ is the standard deviation of daily returns. Maximum drawdown captures the largest peak-to-trough decline:</w:t>
      </w:r>
    </w:p>
    <w:p>
      <w:pPr>
        <w:spacing w:after="120" w:before="0" w:line="360" w:lineRule="auto"/>
        <w:ind w:firstLine="720"/>
        <w:jc w:val="both"/>
      </w:pPr>
      <w:r>
        <w:rPr>
          <w:rFonts w:ascii="Times New Roman" w:hAnsi="Times New Roman" w:eastAsia="Times New Roman"/>
          <w:b w:val="0"/>
          <w:i w:val="0"/>
          <w:sz w:val="26"/>
        </w:rPr>
        <w:t>$$MDD = \max_{t \in [0,T]} \left( \frac{\max_{s \in [0,t]} V_s - V_t}{\max_{s \in [0,t]} V_s} \right)$$</w:t>
      </w:r>
    </w:p>
    <w:p>
      <w:pPr>
        <w:spacing w:after="120" w:before="0" w:line="360" w:lineRule="auto"/>
        <w:ind w:firstLine="720"/>
        <w:jc w:val="both"/>
      </w:pPr>
      <w:r>
        <w:rPr>
          <w:rFonts w:ascii="Times New Roman" w:hAnsi="Times New Roman" w:eastAsia="Times New Roman"/>
          <w:b w:val="0"/>
          <w:i w:val="0"/>
          <w:sz w:val="26"/>
        </w:rPr>
        <w:t>where $V_t$ is the portfolio value at time $t$.</w:t>
      </w:r>
    </w:p>
    <w:p>
      <w:pPr>
        <w:spacing w:after="120" w:before="0" w:line="360" w:lineRule="auto"/>
        <w:ind w:firstLine="720"/>
        <w:jc w:val="both"/>
      </w:pPr>
      <w:r>
        <w:rPr>
          <w:rFonts w:ascii="Times New Roman" w:hAnsi="Times New Roman" w:eastAsia="Times New Roman"/>
          <w:b/>
          <w:i w:val="0"/>
          <w:sz w:val="26"/>
        </w:rPr>
        <w:t>Portfolio optimisation.</w:t>
      </w:r>
      <w:r>
        <w:rPr>
          <w:rFonts w:ascii="Times New Roman" w:hAnsi="Times New Roman" w:eastAsia="Times New Roman"/>
          <w:b w:val="0"/>
          <w:i w:val="0"/>
          <w:sz w:val="26"/>
        </w:rPr>
        <w:t xml:space="preserve"> Four methods are implemented. The Mean-Variance approach (Markowitz, 1952) solves:</w:t>
      </w:r>
    </w:p>
    <w:p>
      <w:pPr>
        <w:spacing w:after="120" w:before="0" w:line="360" w:lineRule="auto"/>
        <w:ind w:firstLine="720"/>
        <w:jc w:val="both"/>
      </w:pPr>
      <w:r>
        <w:rPr>
          <w:rFonts w:ascii="Times New Roman" w:hAnsi="Times New Roman" w:eastAsia="Times New Roman"/>
          <w:b w:val="0"/>
          <w:i w:val="0"/>
          <w:sz w:val="26"/>
        </w:rPr>
        <w:t>$$\min_w \; w^\top \Sigma w \quad \text{subject to} \quad w^\top \mu \geq \mu^*, \quad \sum_i w_i = 1, \quad w_i \geq 0$$</w:t>
      </w:r>
    </w:p>
    <w:p>
      <w:pPr>
        <w:spacing w:after="120" w:before="0" w:line="360" w:lineRule="auto"/>
        <w:ind w:firstLine="720"/>
        <w:jc w:val="both"/>
      </w:pPr>
      <w:r>
        <w:rPr>
          <w:rFonts w:ascii="Times New Roman" w:hAnsi="Times New Roman" w:eastAsia="Times New Roman"/>
          <w:b w:val="0"/>
          <w:i w:val="0"/>
          <w:sz w:val="26"/>
        </w:rPr>
        <w:t>where $w$ is the vector of portfolio weights, $\Sigma$ is the covariance matrix of asset returns, $\mu$ is the vector of expected returns, and $\mu^*$ is the target return. The Maximum Sharpe Ratio portfolio maximises $\frac{w^\top \mu - r_f}{\sqrt{w^\top \Sigma w}}$ (Sharpe, 1964). The Minimum Variance portfolio minimises $w^\top \Sigma w$ without a return target. Risk Parity (Maillard, Roncalli, &amp; Teïletche, 2010) equalises the marginal risk contribution of each asset:</w:t>
      </w:r>
    </w:p>
    <w:p>
      <w:pPr>
        <w:spacing w:after="120" w:before="0" w:line="360" w:lineRule="auto"/>
        <w:ind w:firstLine="720"/>
        <w:jc w:val="both"/>
      </w:pPr>
      <w:r>
        <w:rPr>
          <w:rFonts w:ascii="Times New Roman" w:hAnsi="Times New Roman" w:eastAsia="Times New Roman"/>
          <w:b w:val="0"/>
          <w:i w:val="0"/>
          <w:sz w:val="26"/>
        </w:rPr>
        <w:t>$$RC_i = w_i \cdot \frac{(\Sigma w)_i}{w^\top \Sigma w} = \frac{1}{n} \quad \forall \, i$$</w:t>
      </w:r>
    </w:p>
    <w:p>
      <w:pPr>
        <w:spacing w:after="120" w:before="0" w:line="360" w:lineRule="auto"/>
        <w:ind w:firstLine="720"/>
        <w:jc w:val="both"/>
      </w:pPr>
      <w:r>
        <w:rPr>
          <w:rFonts w:ascii="Times New Roman" w:hAnsi="Times New Roman" w:eastAsia="Times New Roman"/>
          <w:b w:val="0"/>
          <w:i w:val="0"/>
          <w:sz w:val="26"/>
        </w:rPr>
        <w:t>where $RC_i$ is the risk contribution of asset $i$ and $n$ is the number of assets.</w:t>
      </w:r>
    </w:p>
    <w:p>
      <w:pPr>
        <w:spacing w:after="120" w:before="0" w:line="360" w:lineRule="auto"/>
        <w:ind w:firstLine="720"/>
        <w:jc w:val="both"/>
      </w:pPr>
      <w:r>
        <w:rPr>
          <w:rFonts w:ascii="Times New Roman" w:hAnsi="Times New Roman" w:eastAsia="Times New Roman"/>
          <w:b/>
          <w:i w:val="0"/>
          <w:sz w:val="26"/>
        </w:rPr>
        <w:t>Risk measurement.</w:t>
      </w:r>
      <w:r>
        <w:rPr>
          <w:rFonts w:ascii="Times New Roman" w:hAnsi="Times New Roman" w:eastAsia="Times New Roman"/>
          <w:b w:val="0"/>
          <w:i w:val="0"/>
          <w:sz w:val="26"/>
        </w:rPr>
        <w:t xml:space="preserve"> Value at Risk (VaR) at confidence level $\alpha$ represents the maximum loss not exceeded with probability $\alpha$ (Artzner et al., 1999):</w:t>
      </w:r>
    </w:p>
    <w:p>
      <w:pPr>
        <w:spacing w:after="120" w:before="0" w:line="360" w:lineRule="auto"/>
        <w:ind w:firstLine="720"/>
        <w:jc w:val="both"/>
      </w:pPr>
      <w:r>
        <w:rPr>
          <w:rFonts w:ascii="Times New Roman" w:hAnsi="Times New Roman" w:eastAsia="Times New Roman"/>
          <w:b w:val="0"/>
          <w:i w:val="0"/>
          <w:sz w:val="26"/>
        </w:rPr>
        <w:t>$$\text{VaR}_\alpha = -\inf \{ x : P(L \leq x) \geq 1 - \alpha \}$$</w:t>
      </w:r>
    </w:p>
    <w:p>
      <w:pPr>
        <w:spacing w:after="120" w:before="0" w:line="360" w:lineRule="auto"/>
        <w:ind w:firstLine="720"/>
        <w:jc w:val="both"/>
      </w:pPr>
      <w:r>
        <w:rPr>
          <w:rFonts w:ascii="Times New Roman" w:hAnsi="Times New Roman" w:eastAsia="Times New Roman"/>
          <w:b w:val="0"/>
          <w:i w:val="0"/>
          <w:sz w:val="26"/>
        </w:rPr>
        <w:t>Conditional VaR (CVaR), also termed Expected Shortfall, measures the expected loss beyond VaR (Rockafellar &amp; Uryasev, 2000):</w:t>
      </w:r>
    </w:p>
    <w:p>
      <w:pPr>
        <w:spacing w:after="120" w:before="0" w:line="360" w:lineRule="auto"/>
        <w:ind w:firstLine="720"/>
        <w:jc w:val="both"/>
      </w:pPr>
      <w:r>
        <w:rPr>
          <w:rFonts w:ascii="Times New Roman" w:hAnsi="Times New Roman" w:eastAsia="Times New Roman"/>
          <w:b w:val="0"/>
          <w:i w:val="0"/>
          <w:sz w:val="26"/>
        </w:rPr>
        <w:t>$$\text{CVaR}_\alpha = E[L \mid L &gt; \text{VaR}_\alpha]$$</w:t>
      </w:r>
    </w:p>
    <w:p>
      <w:pPr>
        <w:spacing w:after="120" w:before="0" w:line="360" w:lineRule="auto"/>
        <w:ind w:firstLine="720"/>
        <w:jc w:val="both"/>
      </w:pPr>
      <w:r>
        <w:rPr>
          <w:rFonts w:ascii="Times New Roman" w:hAnsi="Times New Roman" w:eastAsia="Times New Roman"/>
          <w:b w:val="0"/>
          <w:i w:val="0"/>
          <w:sz w:val="26"/>
        </w:rPr>
        <w:t>The platform computes VaR and CVaR at 95% and 99% confidence levels using historical simulation. Additional metrics include annualised volatility, maximum and average drawdown, beta relative to VN-Index ($\beta = \frac{\text{Cov}(r_p, r_m)}{\text{Var}(r_m)}$), and tracking error.</w:t>
      </w:r>
    </w:p>
    <w:p>
      <w:pPr>
        <w:spacing w:after="120" w:before="0" w:line="360" w:lineRule="auto"/>
        <w:ind w:firstLine="720"/>
        <w:jc w:val="both"/>
      </w:pPr>
      <w:r>
        <w:rPr>
          <w:rFonts w:ascii="Times New Roman" w:hAnsi="Times New Roman" w:eastAsia="Times New Roman"/>
          <w:b/>
          <w:i w:val="0"/>
          <w:sz w:val="26"/>
        </w:rPr>
        <w:t>Factor analysis.</w:t>
      </w:r>
      <w:r>
        <w:rPr>
          <w:rFonts w:ascii="Times New Roman" w:hAnsi="Times New Roman" w:eastAsia="Times New Roman"/>
          <w:b w:val="0"/>
          <w:i w:val="0"/>
          <w:sz w:val="26"/>
        </w:rPr>
        <w:t xml:space="preserve"> Cross-sectional factor exposures are computed for momentum, value, profitability, and size factors following the framework of Fama and French (1993, 2015).</w:t>
      </w:r>
    </w:p>
    <w:p>
      <w:pPr>
        <w:spacing w:before="240" w:after="120" w:line="360" w:lineRule="auto"/>
        <w:jc w:val="left"/>
        <w:outlineLvl w:val="1"/>
      </w:pPr>
      <w:r>
        <w:rPr>
          <w:rFonts w:ascii="Times New Roman" w:hAnsi="Times New Roman" w:eastAsia="Times New Roman"/>
          <w:b/>
          <w:i w:val="0"/>
          <w:color w:val="000000"/>
          <w:sz w:val="28"/>
        </w:rPr>
        <w:t>3.4 AI Assistant Design</w:t>
      </w:r>
    </w:p>
    <w:p>
      <w:pPr>
        <w:spacing w:after="120" w:before="0" w:line="360" w:lineRule="auto"/>
        <w:ind w:firstLine="720"/>
        <w:jc w:val="both"/>
      </w:pPr>
      <w:r>
        <w:rPr>
          <w:rFonts w:ascii="Times New Roman" w:hAnsi="Times New Roman" w:eastAsia="Times New Roman"/>
          <w:b w:val="0"/>
          <w:i w:val="0"/>
          <w:sz w:val="26"/>
        </w:rPr>
        <w:t>The AI assistant uses a retrieval-augmented generation (RAG) approach (Lewis et al., 2020), but adapted for internal tool-grounding. Instead of retrieving documents from the web, it calls the platform’s own quantitative services — backtesting, risk analysis, factor computation, market data — and uses the returned values as evidence for its answers.</w:t>
      </w:r>
    </w:p>
    <w:p>
      <w:pPr>
        <w:spacing w:after="120" w:before="0" w:line="360" w:lineRule="auto"/>
        <w:ind w:firstLine="720"/>
        <w:jc w:val="both"/>
      </w:pPr>
      <w:r>
        <w:rPr>
          <w:rFonts w:ascii="Times New Roman" w:hAnsi="Times New Roman" w:eastAsia="Times New Roman"/>
          <w:b w:val="0"/>
          <w:i w:val="0"/>
          <w:sz w:val="26"/>
        </w:rPr>
        <w:t>Before generating any response that involves numbers, the assistant runs through a policy gate: are the relevant tools actually called? Did they return valid results? If not, the assistant will say so and decline rather than guessing. The reasoning is straightforward — in finance, a confidently wrong number is worse than no answer at all. This is consistent with Rajpurkar et al. (2018), who argued that recognising when a system cannot answer is just as important as answering correctly.</w:t>
      </w:r>
    </w:p>
    <w:p>
      <w:pPr>
        <w:spacing w:before="240" w:after="120" w:line="360" w:lineRule="auto"/>
        <w:jc w:val="left"/>
        <w:outlineLvl w:val="1"/>
      </w:pPr>
      <w:r>
        <w:rPr>
          <w:rFonts w:ascii="Times New Roman" w:hAnsi="Times New Roman" w:eastAsia="Times New Roman"/>
          <w:b/>
          <w:i w:val="0"/>
          <w:color w:val="000000"/>
          <w:sz w:val="28"/>
        </w:rPr>
        <w:t>3.5 Evaluation Approach</w:t>
      </w:r>
    </w:p>
    <w:p>
      <w:pPr>
        <w:spacing w:after="120" w:before="0" w:line="360" w:lineRule="auto"/>
        <w:ind w:firstLine="720"/>
        <w:jc w:val="both"/>
      </w:pPr>
      <w:r>
        <w:rPr>
          <w:rFonts w:ascii="Times New Roman" w:hAnsi="Times New Roman" w:eastAsia="Times New Roman"/>
          <w:b w:val="0"/>
          <w:i w:val="0"/>
          <w:sz w:val="26"/>
        </w:rPr>
        <w:t>The platform is evaluated through three methods: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i w:val="0"/>
          <w:sz w:val="26"/>
        </w:rPr>
        <w:t>Feature completeness</w:t>
      </w:r>
      <w:r>
        <w:rPr>
          <w:rFonts w:ascii="Times New Roman" w:hAnsi="Times New Roman" w:eastAsia="Times New Roman"/>
          <w:b w:val="0"/>
          <w:i w:val="0"/>
          <w:sz w:val="26"/>
        </w:rPr>
        <w:t>: Comparison of implemented features against the gap identified in the literature review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_Table_2_1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Table 2.1</w:t>
      </w:r>
      <w:r>
        <w:rPr>
          <w:rFonts w:ascii="Times New Roman" w:hAnsi="Times New Roman" w:eastAsia="Times New Roman"/>
          <w:b w:val="0"/>
          <w:i w:val="0"/>
          <w:sz w:val="26"/>
        </w:rPr>
        <w:fldChar w:fldCharType="end"/>
      </w:r>
      <w:r>
        <w:rPr>
          <w:rFonts w:ascii="Times New Roman" w:hAnsi="Times New Roman" w:eastAsia="Times New Roman"/>
          <w:b w:val="0"/>
          <w:i w:val="0"/>
          <w:sz w:val="26"/>
        </w:rPr>
        <w:t>)</w:t>
      </w:r>
    </w:p>
    <w:p>
      <w:pPr>
        <w:spacing w:after="60" w:before="0" w:line="360" w:lineRule="auto"/>
        <w:ind w:left="720"/>
        <w:jc w:val="both"/>
      </w:pPr>
      <w:r>
        <w:rPr>
          <w:rFonts w:ascii="Times New Roman" w:hAnsi="Times New Roman" w:eastAsia="Times New Roman"/>
          <w:b w:val="0"/>
          <w:i w:val="0"/>
          <w:sz w:val="26"/>
        </w:rPr>
        <w:t xml:space="preserve">2.  </w:t>
      </w:r>
      <w:r>
        <w:rPr>
          <w:rFonts w:ascii="Times New Roman" w:hAnsi="Times New Roman" w:eastAsia="Times New Roman"/>
          <w:b/>
          <w:i w:val="0"/>
          <w:sz w:val="26"/>
        </w:rPr>
        <w:t>Demonstration</w:t>
      </w:r>
      <w:r>
        <w:rPr>
          <w:rFonts w:ascii="Times New Roman" w:hAnsi="Times New Roman" w:eastAsia="Times New Roman"/>
          <w:b w:val="0"/>
          <w:i w:val="0"/>
          <w:sz w:val="26"/>
        </w:rPr>
        <w:t>: Worked examples showing end-to-end workflows (screening → backtesting → portfolio → risk) on real HOSE data</w:t>
      </w:r>
    </w:p>
    <w:p>
      <w:pPr>
        <w:spacing w:after="60" w:before="0" w:line="360" w:lineRule="auto"/>
        <w:ind w:left="720"/>
        <w:jc w:val="both"/>
      </w:pPr>
      <w:r>
        <w:rPr>
          <w:rFonts w:ascii="Times New Roman" w:hAnsi="Times New Roman" w:eastAsia="Times New Roman"/>
          <w:b w:val="0"/>
          <w:i w:val="0"/>
          <w:sz w:val="26"/>
        </w:rPr>
        <w:t xml:space="preserve">3.  </w:t>
      </w:r>
      <w:r>
        <w:rPr>
          <w:rFonts w:ascii="Times New Roman" w:hAnsi="Times New Roman" w:eastAsia="Times New Roman"/>
          <w:b/>
          <w:i w:val="0"/>
          <w:sz w:val="26"/>
        </w:rPr>
        <w:t>AI assistant evaluation</w:t>
      </w:r>
      <w:r>
        <w:rPr>
          <w:rFonts w:ascii="Times New Roman" w:hAnsi="Times New Roman" w:eastAsia="Times New Roman"/>
          <w:b w:val="0"/>
          <w:i w:val="0"/>
          <w:sz w:val="26"/>
        </w:rPr>
        <w:t>: Assessment of response grounding, including unsupported claim rate and abstention behaviour under insufficient evidence</w:t>
      </w:r>
    </w:p>
    <w:p>
      <w:pPr>
        <w:spacing w:after="120" w:before="0" w:line="360" w:lineRule="auto"/>
        <w:ind w:firstLine="720"/>
        <w:jc w:val="both"/>
      </w:pPr>
      <w:r>
        <w:rPr>
          <w:rFonts w:ascii="Times New Roman" w:hAnsi="Times New Roman" w:eastAsia="Times New Roman"/>
          <w:b w:val="0"/>
          <w:i w:val="0"/>
          <w:sz w:val="26"/>
        </w:rPr>
        <w:t>The five research hypotheses (H1–H5) formulated in Chapter 2 are evaluated against the evidence gathered from platform development and demonstration. Results are discussed in Chapter 4 (Section 4.7.5) and summarised in Appendix A.</w:t>
      </w:r>
    </w:p>
    <w:p>
      <w:r>
        <w:br w:type="page"/>
      </w:r>
    </w:p>
    <w:p>
      <w:pPr>
        <w:spacing w:before="360" w:after="120" w:line="360" w:lineRule="auto"/>
        <w:jc w:val="left"/>
        <w:outlineLvl w:val="0"/>
      </w:pPr>
      <w:r>
        <w:rPr>
          <w:rFonts w:ascii="Times New Roman" w:hAnsi="Times New Roman" w:eastAsia="Times New Roman"/>
          <w:b/>
          <w:i w:val="0"/>
          <w:color w:val="000000"/>
          <w:sz w:val="32"/>
        </w:rPr>
        <w:t>4. Research Results and Discussion</w:t>
      </w:r>
    </w:p>
    <w:p>
      <w:pPr>
        <w:spacing w:after="120" w:before="0" w:line="360" w:lineRule="auto"/>
        <w:ind w:firstLine="720"/>
        <w:jc w:val="both"/>
      </w:pPr>
      <w:r>
        <w:rPr>
          <w:rFonts w:ascii="Times New Roman" w:hAnsi="Times New Roman" w:eastAsia="Times New Roman"/>
          <w:b w:val="0"/>
          <w:i w:val="0"/>
          <w:sz w:val="26"/>
        </w:rPr>
        <w:t>This chapter presents the research results of QuantVN Strategy Forge, focusing on how each core capability addresses the identified gaps in quantitative tools for Vietnamese retail investors.</w:t>
      </w:r>
    </w:p>
    <w:p>
      <w:pPr>
        <w:spacing w:before="240" w:after="120" w:line="360" w:lineRule="auto"/>
        <w:jc w:val="left"/>
        <w:outlineLvl w:val="1"/>
      </w:pPr>
      <w:r>
        <w:rPr>
          <w:rFonts w:ascii="Times New Roman" w:hAnsi="Times New Roman" w:eastAsia="Times New Roman"/>
          <w:b/>
          <w:i w:val="0"/>
          <w:color w:val="000000"/>
          <w:sz w:val="28"/>
        </w:rPr>
        <w:t>4.1 Overview of the Developed Platform</w:t>
      </w:r>
    </w:p>
    <w:p>
      <w:pPr>
        <w:spacing w:after="120" w:before="0" w:line="360" w:lineRule="auto"/>
        <w:ind w:firstLine="720"/>
        <w:jc w:val="both"/>
      </w:pPr>
      <w:r>
        <w:rPr>
          <w:rFonts w:ascii="Times New Roman" w:hAnsi="Times New Roman" w:eastAsia="Times New Roman"/>
          <w:b w:val="0"/>
          <w:i w:val="0"/>
          <w:sz w:val="26"/>
        </w:rPr>
        <w:t xml:space="preserve">QuantVN Strategy Forge has been developed as a web-based quantitative analysis platform for the Ho Chi Minh Stock Exchange (HOSE). The platform covers 412 HOSE-listed symbols with 768,718 daily price records from 2018 to 2025, supplemented by quarterly financial statements (balance sheets, income statements, and cash flow statements).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_Figure_4_1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Figure 4.1</w:t>
      </w:r>
      <w:r>
        <w:rPr>
          <w:rFonts w:ascii="Times New Roman" w:hAnsi="Times New Roman" w:eastAsia="Times New Roman"/>
          <w:b w:val="0"/>
          <w:i w:val="0"/>
          <w:sz w:val="26"/>
        </w:rPr>
        <w:fldChar w:fldCharType="end"/>
      </w:r>
      <w:r>
        <w:rPr>
          <w:rFonts w:ascii="Times New Roman" w:hAnsi="Times New Roman" w:eastAsia="Times New Roman"/>
          <w:b w:val="0"/>
          <w:i w:val="0"/>
          <w:sz w:val="26"/>
        </w:rPr>
        <w:t xml:space="preserve"> shows the landing page, summarising the platform's scope.</w:t>
      </w:r>
    </w:p>
    <w:p>
      <w:pPr>
        <w:spacing w:after="120" w:before="240" w:line="360" w:lineRule="auto"/>
        <w:jc w:val="center"/>
      </w:pPr>
      <w:r>
        <w:drawing>
          <wp:inline xmlns:a="http://schemas.openxmlformats.org/drawingml/2006/main" xmlns:pic="http://schemas.openxmlformats.org/drawingml/2006/picture">
            <wp:extent cx="4680000" cy="2571212"/>
            <wp:docPr id="8" name="Picture 8"/>
            <wp:cNvGraphicFramePr>
              <a:graphicFrameLocks noChangeAspect="1"/>
            </wp:cNvGraphicFramePr>
            <a:graphic>
              <a:graphicData uri="http://schemas.openxmlformats.org/drawingml/2006/picture">
                <pic:pic>
                  <pic:nvPicPr>
                    <pic:cNvPr id="0" name="fig_home_page.png"/>
                    <pic:cNvPicPr/>
                  </pic:nvPicPr>
                  <pic:blipFill>
                    <a:blip r:embed="rId9"/>
                    <a:stretch>
                      <a:fillRect/>
                    </a:stretch>
                  </pic:blipFill>
                  <pic:spPr>
                    <a:xfrm>
                      <a:off x="0" y="0"/>
                      <a:ext cx="4680000" cy="2571212"/>
                    </a:xfrm>
                    <a:prstGeom prst="rect"/>
                  </pic:spPr>
                </pic:pic>
              </a:graphicData>
            </a:graphic>
          </wp:inline>
        </w:drawing>
      </w:r>
    </w:p>
    <w:p>
      <w:pPr>
        <w:spacing w:after="240" w:before="0" w:line="360" w:lineRule="auto"/>
        <w:jc w:val="center"/>
      </w:pPr>
      <w:bookmarkStart w:id="5" w:name="_Figure_4_1"/>
      <w:r>
        <w:rPr>
          <w:rFonts w:ascii="Times New Roman" w:hAnsi="Times New Roman" w:eastAsia="Times New Roman"/>
          <w:b w:val="0"/>
          <w:i/>
          <w:sz w:val="22"/>
        </w:rPr>
        <w:t>Figure 4.1: QuantVN Strategy Forge landing page showing platform coverage — 400+ HOSE stocks, 7 years of historical data, and integrated AI capabilities.</w:t>
      </w:r>
      <w:bookmarkEnd w:id="5"/>
    </w:p>
    <w:p>
      <w:pPr>
        <w:spacing w:before="240" w:after="120" w:line="360" w:lineRule="auto"/>
        <w:jc w:val="left"/>
        <w:outlineLvl w:val="1"/>
      </w:pPr>
      <w:r>
        <w:rPr>
          <w:rFonts w:ascii="Times New Roman" w:hAnsi="Times New Roman" w:eastAsia="Times New Roman"/>
          <w:b/>
          <w:i w:val="0"/>
          <w:color w:val="000000"/>
          <w:sz w:val="28"/>
        </w:rPr>
        <w:t>4.2 Analytical Workflow</w:t>
      </w:r>
    </w:p>
    <w:p>
      <w:pPr>
        <w:spacing w:after="120" w:before="240" w:line="360" w:lineRule="auto"/>
        <w:jc w:val="center"/>
      </w:pPr>
      <w:r>
        <w:drawing>
          <wp:inline xmlns:a="http://schemas.openxmlformats.org/drawingml/2006/main" xmlns:pic="http://schemas.openxmlformats.org/drawingml/2006/picture">
            <wp:extent cx="4680000" cy="1430400"/>
            <wp:docPr id="9" name="Picture 9"/>
            <wp:cNvGraphicFramePr>
              <a:graphicFrameLocks noChangeAspect="1"/>
            </wp:cNvGraphicFramePr>
            <a:graphic>
              <a:graphicData uri="http://schemas.openxmlformats.org/drawingml/2006/picture">
                <pic:pic>
                  <pic:nvPicPr>
                    <pic:cNvPr id="0" name="fig_4_1.png"/>
                    <pic:cNvPicPr/>
                  </pic:nvPicPr>
                  <pic:blipFill>
                    <a:blip r:embed="rId10"/>
                    <a:stretch>
                      <a:fillRect/>
                    </a:stretch>
                  </pic:blipFill>
                  <pic:spPr>
                    <a:xfrm>
                      <a:off x="0" y="0"/>
                      <a:ext cx="4680000" cy="1430400"/>
                    </a:xfrm>
                    <a:prstGeom prst="rect"/>
                  </pic:spPr>
                </pic:pic>
              </a:graphicData>
            </a:graphic>
          </wp:inline>
        </w:drawing>
      </w:r>
    </w:p>
    <w:p>
      <w:pPr>
        <w:spacing w:after="240" w:before="0" w:line="360" w:lineRule="auto"/>
        <w:jc w:val="center"/>
      </w:pPr>
      <w:bookmarkStart w:id="6" w:name="_Figure_4_2"/>
      <w:r>
        <w:rPr>
          <w:rFonts w:ascii="Times New Roman" w:hAnsi="Times New Roman" w:eastAsia="Times New Roman"/>
          <w:b w:val="0"/>
          <w:i/>
          <w:sz w:val="22"/>
        </w:rPr>
        <w:t>Figure 4.2: Systematic analytical workflow on the QuantVN platform — from universe screening through risk-informed investment decision.</w:t>
      </w:r>
      <w:bookmarkEnd w:id="6"/>
    </w:p>
    <w:p>
      <w:pPr>
        <w:spacing w:before="240" w:after="120" w:line="360" w:lineRule="auto"/>
        <w:jc w:val="left"/>
        <w:outlineLvl w:val="1"/>
      </w:pPr>
      <w:r>
        <w:rPr>
          <w:rFonts w:ascii="Times New Roman" w:hAnsi="Times New Roman" w:eastAsia="Times New Roman"/>
          <w:b/>
          <w:i w:val="0"/>
          <w:color w:val="000000"/>
          <w:sz w:val="28"/>
        </w:rPr>
        <w:t>4.3 Strategy Backtesting with Vietnamese Market Parameters</w:t>
      </w:r>
    </w:p>
    <w:p>
      <w:pPr>
        <w:spacing w:after="120" w:before="0" w:line="360" w:lineRule="auto"/>
        <w:ind w:firstLine="720"/>
        <w:jc w:val="both"/>
      </w:pPr>
      <w:r>
        <w:rPr>
          <w:rFonts w:ascii="Times New Roman" w:hAnsi="Times New Roman" w:eastAsia="Times New Roman"/>
          <w:b w:val="0"/>
          <w:i w:val="0"/>
          <w:sz w:val="26"/>
        </w:rPr>
        <w:t>A core contribution of the platform is its backtesting engine, which incorporates Vietnamese market-specific parameters that are absent from most international tools: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Lot size:</w:t>
      </w:r>
      <w:r>
        <w:rPr>
          <w:rFonts w:ascii="Times New Roman" w:hAnsi="Times New Roman" w:eastAsia="Times New Roman"/>
          <w:b w:val="0"/>
          <w:i w:val="0"/>
          <w:sz w:val="26"/>
        </w:rPr>
        <w:t xml:space="preserve"> 100 shares per HOSE trading regulation.</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Transaction costs:</w:t>
      </w:r>
      <w:r>
        <w:rPr>
          <w:rFonts w:ascii="Times New Roman" w:hAnsi="Times New Roman" w:eastAsia="Times New Roman"/>
          <w:b w:val="0"/>
          <w:i w:val="0"/>
          <w:sz w:val="26"/>
        </w:rPr>
        <w:t xml:space="preserve"> Brokerage fee (0.15%), sell-side tax (0.1%), and estimated slippage (0.05%).</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Execution model:</w:t>
      </w:r>
      <w:r>
        <w:rPr>
          <w:rFonts w:ascii="Times New Roman" w:hAnsi="Times New Roman" w:eastAsia="Times New Roman"/>
          <w:b w:val="0"/>
          <w:i w:val="0"/>
          <w:sz w:val="26"/>
        </w:rPr>
        <w:t xml:space="preserve"> Next-open price execution, reflecting realistic retail order fills.</w:t>
      </w:r>
    </w:p>
    <w:p>
      <w:pPr>
        <w:spacing w:after="120" w:before="0" w:line="360" w:lineRule="auto"/>
        <w:ind w:firstLine="720"/>
        <w:jc w:val="both"/>
      </w:pPr>
      <w:r>
        <w:rPr>
          <w:rFonts w:ascii="Times New Roman" w:hAnsi="Times New Roman" w:eastAsia="Times New Roman"/>
          <w:b w:val="0"/>
          <w:i w:val="0"/>
          <w:sz w:val="26"/>
        </w:rPr>
        <w:t>These parameters matter because ignoring them — as generic international platforms do — can make strategies look more profitable than they actually are, especially for approaches with small per-trade margins. The platform supports five strategy types: SMA Crossover, EMA Crossover, RSI Mean Reversion, Bollinger Bands, and Momentum.</w:t>
      </w:r>
    </w:p>
    <w:p>
      <w:pPr>
        <w:spacing w:after="120" w:before="240" w:line="360" w:lineRule="auto"/>
        <w:jc w:val="center"/>
      </w:pPr>
      <w:r>
        <w:drawing>
          <wp:inline xmlns:a="http://schemas.openxmlformats.org/drawingml/2006/main" xmlns:pic="http://schemas.openxmlformats.org/drawingml/2006/picture">
            <wp:extent cx="2183437" cy="6120000"/>
            <wp:docPr id="10" name="Picture 10"/>
            <wp:cNvGraphicFramePr>
              <a:graphicFrameLocks noChangeAspect="1"/>
            </wp:cNvGraphicFramePr>
            <a:graphic>
              <a:graphicData uri="http://schemas.openxmlformats.org/drawingml/2006/picture">
                <pic:pic>
                  <pic:nvPicPr>
                    <pic:cNvPr id="0" name="fig_4_2.png"/>
                    <pic:cNvPicPr/>
                  </pic:nvPicPr>
                  <pic:blipFill>
                    <a:blip r:embed="rId11"/>
                    <a:stretch>
                      <a:fillRect/>
                    </a:stretch>
                  </pic:blipFill>
                  <pic:spPr>
                    <a:xfrm>
                      <a:off x="0" y="0"/>
                      <a:ext cx="2183437" cy="6120000"/>
                    </a:xfrm>
                    <a:prstGeom prst="rect"/>
                  </pic:spPr>
                </pic:pic>
              </a:graphicData>
            </a:graphic>
          </wp:inline>
        </w:drawing>
      </w:r>
    </w:p>
    <w:p>
      <w:pPr>
        <w:spacing w:after="240" w:before="0" w:line="360" w:lineRule="auto"/>
        <w:jc w:val="center"/>
      </w:pPr>
      <w:bookmarkStart w:id="7" w:name="_Figure_4_3"/>
      <w:r>
        <w:rPr>
          <w:rFonts w:ascii="Times New Roman" w:hAnsi="Times New Roman" w:eastAsia="Times New Roman"/>
          <w:b w:val="0"/>
          <w:i/>
          <w:sz w:val="22"/>
        </w:rPr>
        <w:t>Figure 4.3: Backtesting process flow integrating data quality validation and Vietnamese market cost parameters.</w:t>
      </w:r>
      <w:bookmarkEnd w:id="7"/>
    </w:p>
    <w:p>
      <w:pPr>
        <w:spacing w:after="120" w:before="0" w:line="360" w:lineRule="auto"/>
        <w:ind w:firstLine="720"/>
        <w:jc w:val="both"/>
      </w:pPr>
      <w:r>
        <w:rPr>
          <w:rFonts w:ascii="Times New Roman" w:hAnsi="Times New Roman" w:eastAsia="Times New Roman"/>
          <w:b w:val="0"/>
          <w:i w:val="0"/>
          <w:sz w:val="26"/>
        </w:rPr>
        <w:t>Each backtest produces performance metrics including total return, CAGR, Sharpe ratio, Sortino ratio, maximum drawdown, win rate, and profit factor, alongside data quality diagnostics (coverage ratio, largest data gap, usable rows) that allow investors to assess result reliability.</w:t>
      </w:r>
    </w:p>
    <w:p>
      <w:pPr>
        <w:spacing w:before="240" w:after="120" w:line="360" w:lineRule="auto"/>
        <w:jc w:val="left"/>
        <w:outlineLvl w:val="1"/>
      </w:pPr>
      <w:r>
        <w:rPr>
          <w:rFonts w:ascii="Times New Roman" w:hAnsi="Times New Roman" w:eastAsia="Times New Roman"/>
          <w:b/>
          <w:i w:val="0"/>
          <w:color w:val="000000"/>
          <w:sz w:val="28"/>
        </w:rPr>
        <w:t>4.4 Visual Strategy Builder</w:t>
      </w:r>
    </w:p>
    <w:p>
      <w:pPr>
        <w:spacing w:after="120" w:before="0" w:line="360" w:lineRule="auto"/>
        <w:ind w:firstLine="720"/>
        <w:jc w:val="both"/>
      </w:pPr>
      <w:r>
        <w:rPr>
          <w:rFonts w:ascii="Times New Roman" w:hAnsi="Times New Roman" w:eastAsia="Times New Roman"/>
          <w:b w:val="0"/>
          <w:i w:val="0"/>
          <w:sz w:val="26"/>
        </w:rPr>
        <w:t xml:space="preserve">The Strategy Builder provides a no-code, drag-and-drop interface for constructing custom trading strategies. Users compose strategies by connecting functional nodes on an interactive canvas — data sources, technical indicators, condition filters, and output metrics — without writing code.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_Figure_4_4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Figure 4.4</w:t>
      </w:r>
      <w:r>
        <w:rPr>
          <w:rFonts w:ascii="Times New Roman" w:hAnsi="Times New Roman" w:eastAsia="Times New Roman"/>
          <w:b w:val="0"/>
          <w:i w:val="0"/>
          <w:sz w:val="26"/>
        </w:rPr>
        <w:fldChar w:fldCharType="end"/>
      </w:r>
      <w:r>
        <w:rPr>
          <w:rFonts w:ascii="Times New Roman" w:hAnsi="Times New Roman" w:eastAsia="Times New Roman"/>
          <w:b w:val="0"/>
          <w:i w:val="0"/>
          <w:sz w:val="26"/>
        </w:rPr>
        <w:t xml:space="preserve"> demonstrates a complete RSI Reversal strategy.</w:t>
      </w:r>
    </w:p>
    <w:p>
      <w:pPr>
        <w:spacing w:after="120" w:before="240" w:line="360" w:lineRule="auto"/>
        <w:jc w:val="center"/>
      </w:pPr>
      <w:r>
        <w:drawing>
          <wp:inline xmlns:a="http://schemas.openxmlformats.org/drawingml/2006/main" xmlns:pic="http://schemas.openxmlformats.org/drawingml/2006/picture">
            <wp:extent cx="4680000" cy="2587000"/>
            <wp:docPr id="11" name="Picture 11"/>
            <wp:cNvGraphicFramePr>
              <a:graphicFrameLocks noChangeAspect="1"/>
            </wp:cNvGraphicFramePr>
            <a:graphic>
              <a:graphicData uri="http://schemas.openxmlformats.org/drawingml/2006/picture">
                <pic:pic>
                  <pic:nvPicPr>
                    <pic:cNvPr id="0" name="fig_strategy_builder.png"/>
                    <pic:cNvPicPr/>
                  </pic:nvPicPr>
                  <pic:blipFill>
                    <a:blip r:embed="rId12"/>
                    <a:stretch>
                      <a:fillRect/>
                    </a:stretch>
                  </pic:blipFill>
                  <pic:spPr>
                    <a:xfrm>
                      <a:off x="0" y="0"/>
                      <a:ext cx="4680000" cy="2587000"/>
                    </a:xfrm>
                    <a:prstGeom prst="rect"/>
                  </pic:spPr>
                </pic:pic>
              </a:graphicData>
            </a:graphic>
          </wp:inline>
        </w:drawing>
      </w:r>
    </w:p>
    <w:p>
      <w:pPr>
        <w:spacing w:after="240" w:before="0" w:line="360" w:lineRule="auto"/>
        <w:jc w:val="center"/>
      </w:pPr>
      <w:bookmarkStart w:id="8" w:name="_Figure_4_4"/>
      <w:r>
        <w:rPr>
          <w:rFonts w:ascii="Times New Roman" w:hAnsi="Times New Roman" w:eastAsia="Times New Roman"/>
          <w:b w:val="0"/>
          <w:i/>
          <w:sz w:val="22"/>
        </w:rPr>
        <w:t>Figure 4.4: Visual Strategy Builder showing a drag-and-drop RSI Reversal strategy with connected nodes for data source, RSI indicator, oversold filter, and performance output.</w:t>
      </w:r>
      <w:bookmarkEnd w:id="8"/>
    </w:p>
    <w:p>
      <w:pPr>
        <w:spacing w:after="120" w:before="0" w:line="360" w:lineRule="auto"/>
        <w:ind w:firstLine="720"/>
        <w:jc w:val="both"/>
      </w:pPr>
      <w:r>
        <w:rPr>
          <w:rFonts w:ascii="Times New Roman" w:hAnsi="Times New Roman" w:eastAsia="Times New Roman"/>
          <w:b w:val="0"/>
          <w:i w:val="0"/>
          <w:sz w:val="26"/>
        </w:rPr>
        <w:t>This visual approach lowers the barrier to quantitative strategy development, enabling retail investors to experiment with trading logic that traditionally requires programming expertise. Strategies built in the canvas can be directly backtested against historical HOSE data.</w:t>
      </w:r>
    </w:p>
    <w:p>
      <w:pPr>
        <w:spacing w:before="240" w:after="120" w:line="360" w:lineRule="auto"/>
        <w:jc w:val="left"/>
        <w:outlineLvl w:val="1"/>
      </w:pPr>
      <w:r>
        <w:rPr>
          <w:rFonts w:ascii="Times New Roman" w:hAnsi="Times New Roman" w:eastAsia="Times New Roman"/>
          <w:b/>
          <w:i w:val="0"/>
          <w:color w:val="000000"/>
          <w:sz w:val="28"/>
        </w:rPr>
        <w:t>4.5 Portfolio Optimisation and Risk Assessment</w:t>
      </w:r>
    </w:p>
    <w:p>
      <w:pPr>
        <w:spacing w:after="120" w:before="0" w:line="360" w:lineRule="auto"/>
        <w:ind w:firstLine="720"/>
        <w:jc w:val="both"/>
      </w:pPr>
      <w:r>
        <w:rPr>
          <w:rFonts w:ascii="Times New Roman" w:hAnsi="Times New Roman" w:eastAsia="Times New Roman"/>
          <w:b w:val="0"/>
          <w:i w:val="0"/>
          <w:sz w:val="26"/>
        </w:rPr>
        <w:t>The platform implements four portfolio optimisation methods suited to different investor profiles: Mean-Variance (Markowitz), Risk Parity, Minimum Variance, and Maximum Sharpe. The optimiser automatically excludes assets with insufficient trading history (fewer than 60 days) or inadequate pairwise data overlap (below 30 days), which prevents the kind of unreliable allocations that can result from sparse data — particularly for symbols with shorter listing histories on HOSE.</w:t>
      </w:r>
    </w:p>
    <w:p>
      <w:pPr>
        <w:spacing w:after="120" w:before="0" w:line="360" w:lineRule="auto"/>
        <w:ind w:firstLine="720"/>
        <w:jc w:val="both"/>
      </w:pPr>
      <w:r>
        <w:rPr>
          <w:rFonts w:ascii="Times New Roman" w:hAnsi="Times New Roman" w:eastAsia="Times New Roman"/>
          <w:b w:val="0"/>
          <w:i w:val="0"/>
          <w:sz w:val="26"/>
        </w:rPr>
        <w:t>The risk dashboard complements portfolio construction with quantitative risk metrics:</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c>
          <w:tcPr>
            <w:tcW w:type="dxa" w:w="3024"/>
            <w:shd w:fill="D9E2F3" w:val="clear"/>
          </w:tcPr>
          <w:p>
            <w:pPr>
              <w:jc w:val="center"/>
            </w:pPr>
            <w:r/>
            <w:r>
              <w:rPr>
                <w:rFonts w:ascii="Times New Roman" w:hAnsi="Times New Roman" w:eastAsia="Times New Roman"/>
                <w:b/>
                <w:i w:val="0"/>
                <w:sz w:val="22"/>
              </w:rPr>
              <w:t>Metric</w:t>
            </w:r>
          </w:p>
        </w:tc>
        <w:tc>
          <w:tcPr>
            <w:tcW w:type="dxa" w:w="3024"/>
            <w:shd w:fill="D9E2F3" w:val="clear"/>
          </w:tcPr>
          <w:p>
            <w:pPr>
              <w:jc w:val="center"/>
            </w:pPr>
            <w:r/>
            <w:r>
              <w:rPr>
                <w:rFonts w:ascii="Times New Roman" w:hAnsi="Times New Roman" w:eastAsia="Times New Roman"/>
                <w:b/>
                <w:i w:val="0"/>
                <w:sz w:val="22"/>
              </w:rPr>
              <w:t>Purpose</w:t>
            </w:r>
          </w:p>
        </w:tc>
        <w:tc>
          <w:tcPr>
            <w:tcW w:type="dxa" w:w="3024"/>
            <w:shd w:fill="D9E2F3" w:val="clear"/>
          </w:tcPr>
          <w:p>
            <w:pPr>
              <w:jc w:val="center"/>
            </w:pPr>
            <w:r/>
            <w:r>
              <w:rPr>
                <w:rFonts w:ascii="Times New Roman" w:hAnsi="Times New Roman" w:eastAsia="Times New Roman"/>
                <w:b/>
                <w:i w:val="0"/>
                <w:sz w:val="22"/>
              </w:rPr>
              <w:t>Relevance for Vietnamese Investors</w:t>
            </w:r>
          </w:p>
        </w:tc>
      </w:tr>
      <w:tr>
        <w:tc>
          <w:tcPr>
            <w:tcW w:type="dxa" w:w="3024"/>
          </w:tcPr>
          <w:p>
            <w:pPr>
              <w:jc w:val="left"/>
            </w:pPr>
            <w:r/>
            <w:r>
              <w:rPr>
                <w:rFonts w:ascii="Times New Roman" w:hAnsi="Times New Roman" w:eastAsia="Times New Roman"/>
                <w:b w:val="0"/>
                <w:i w:val="0"/>
                <w:sz w:val="22"/>
              </w:rPr>
              <w:t>VaR (95%, 99%)</w:t>
            </w:r>
          </w:p>
        </w:tc>
        <w:tc>
          <w:tcPr>
            <w:tcW w:type="dxa" w:w="3024"/>
          </w:tcPr>
          <w:p>
            <w:pPr>
              <w:jc w:val="left"/>
            </w:pPr>
            <w:r/>
            <w:r>
              <w:rPr>
                <w:rFonts w:ascii="Times New Roman" w:hAnsi="Times New Roman" w:eastAsia="Times New Roman"/>
                <w:b w:val="0"/>
                <w:i w:val="0"/>
                <w:sz w:val="22"/>
              </w:rPr>
              <w:t>Maximum expected loss under normal conditions</w:t>
            </w:r>
          </w:p>
        </w:tc>
        <w:tc>
          <w:tcPr>
            <w:tcW w:type="dxa" w:w="3024"/>
          </w:tcPr>
          <w:p>
            <w:pPr>
              <w:jc w:val="left"/>
            </w:pPr>
            <w:r/>
            <w:r>
              <w:rPr>
                <w:rFonts w:ascii="Times New Roman" w:hAnsi="Times New Roman" w:eastAsia="Times New Roman"/>
                <w:b w:val="0"/>
                <w:i w:val="0"/>
                <w:sz w:val="22"/>
              </w:rPr>
              <w:t>Quantifies daily downside exposure</w:t>
            </w:r>
          </w:p>
        </w:tc>
      </w:tr>
      <w:tr>
        <w:tc>
          <w:tcPr>
            <w:tcW w:type="dxa" w:w="3024"/>
          </w:tcPr>
          <w:p>
            <w:pPr>
              <w:jc w:val="left"/>
            </w:pPr>
            <w:r/>
            <w:r>
              <w:rPr>
                <w:rFonts w:ascii="Times New Roman" w:hAnsi="Times New Roman" w:eastAsia="Times New Roman"/>
                <w:b w:val="0"/>
                <w:i w:val="0"/>
                <w:sz w:val="22"/>
              </w:rPr>
              <w:t>CVaR (Expected Shortfall)</w:t>
            </w:r>
          </w:p>
        </w:tc>
        <w:tc>
          <w:tcPr>
            <w:tcW w:type="dxa" w:w="3024"/>
          </w:tcPr>
          <w:p>
            <w:pPr>
              <w:jc w:val="left"/>
            </w:pPr>
            <w:r/>
            <w:r>
              <w:rPr>
                <w:rFonts w:ascii="Times New Roman" w:hAnsi="Times New Roman" w:eastAsia="Times New Roman"/>
                <w:b w:val="0"/>
                <w:i w:val="0"/>
                <w:sz w:val="22"/>
              </w:rPr>
              <w:t>Average loss in worst-case scenarios</w:t>
            </w:r>
          </w:p>
        </w:tc>
        <w:tc>
          <w:tcPr>
            <w:tcW w:type="dxa" w:w="3024"/>
          </w:tcPr>
          <w:p>
            <w:pPr>
              <w:jc w:val="left"/>
            </w:pPr>
            <w:r/>
            <w:r>
              <w:rPr>
                <w:rFonts w:ascii="Times New Roman" w:hAnsi="Times New Roman" w:eastAsia="Times New Roman"/>
                <w:b w:val="0"/>
                <w:i w:val="0"/>
                <w:sz w:val="22"/>
              </w:rPr>
              <w:t>Captures tail risk from sudden volatility spikes</w:t>
            </w:r>
          </w:p>
        </w:tc>
      </w:tr>
      <w:tr>
        <w:tc>
          <w:tcPr>
            <w:tcW w:type="dxa" w:w="3024"/>
          </w:tcPr>
          <w:p>
            <w:pPr>
              <w:jc w:val="left"/>
            </w:pPr>
            <w:r/>
            <w:r>
              <w:rPr>
                <w:rFonts w:ascii="Times New Roman" w:hAnsi="Times New Roman" w:eastAsia="Times New Roman"/>
                <w:b w:val="0"/>
                <w:i w:val="0"/>
                <w:sz w:val="22"/>
              </w:rPr>
              <w:t>Beta vs VN-Index</w:t>
            </w:r>
          </w:p>
        </w:tc>
        <w:tc>
          <w:tcPr>
            <w:tcW w:type="dxa" w:w="3024"/>
          </w:tcPr>
          <w:p>
            <w:pPr>
              <w:jc w:val="left"/>
            </w:pPr>
            <w:r/>
            <w:r>
              <w:rPr>
                <w:rFonts w:ascii="Times New Roman" w:hAnsi="Times New Roman" w:eastAsia="Times New Roman"/>
                <w:b w:val="0"/>
                <w:i w:val="0"/>
                <w:sz w:val="22"/>
              </w:rPr>
              <w:t>Systematic market risk exposure</w:t>
            </w:r>
          </w:p>
        </w:tc>
        <w:tc>
          <w:tcPr>
            <w:tcW w:type="dxa" w:w="3024"/>
          </w:tcPr>
          <w:p>
            <w:pPr>
              <w:jc w:val="left"/>
            </w:pPr>
            <w:r/>
            <w:r>
              <w:rPr>
                <w:rFonts w:ascii="Times New Roman" w:hAnsi="Times New Roman" w:eastAsia="Times New Roman"/>
                <w:b w:val="0"/>
                <w:i w:val="0"/>
                <w:sz w:val="22"/>
              </w:rPr>
              <w:t>Measures sensitivity to HOSE market movements</w:t>
            </w:r>
          </w:p>
        </w:tc>
      </w:tr>
      <w:tr>
        <w:tc>
          <w:tcPr>
            <w:tcW w:type="dxa" w:w="3024"/>
          </w:tcPr>
          <w:p>
            <w:pPr>
              <w:jc w:val="left"/>
            </w:pPr>
            <w:r/>
            <w:r>
              <w:rPr>
                <w:rFonts w:ascii="Times New Roman" w:hAnsi="Times New Roman" w:eastAsia="Times New Roman"/>
                <w:b w:val="0"/>
                <w:i w:val="0"/>
                <w:sz w:val="22"/>
              </w:rPr>
              <w:t>Maximum Drawdown</w:t>
            </w:r>
          </w:p>
        </w:tc>
        <w:tc>
          <w:tcPr>
            <w:tcW w:type="dxa" w:w="3024"/>
          </w:tcPr>
          <w:p>
            <w:pPr>
              <w:jc w:val="left"/>
            </w:pPr>
            <w:r/>
            <w:r>
              <w:rPr>
                <w:rFonts w:ascii="Times New Roman" w:hAnsi="Times New Roman" w:eastAsia="Times New Roman"/>
                <w:b w:val="0"/>
                <w:i w:val="0"/>
                <w:sz w:val="22"/>
              </w:rPr>
              <w:t>Worst historical peak-to-trough decline</w:t>
            </w:r>
          </w:p>
        </w:tc>
        <w:tc>
          <w:tcPr>
            <w:tcW w:type="dxa" w:w="3024"/>
          </w:tcPr>
          <w:p>
            <w:pPr>
              <w:jc w:val="left"/>
            </w:pPr>
            <w:r/>
            <w:r>
              <w:rPr>
                <w:rFonts w:ascii="Times New Roman" w:hAnsi="Times New Roman" w:eastAsia="Times New Roman"/>
                <w:b w:val="0"/>
                <w:i w:val="0"/>
                <w:sz w:val="22"/>
              </w:rPr>
              <w:t>Sets expectations for potential capital loss</w:t>
            </w:r>
          </w:p>
        </w:tc>
      </w:tr>
      <w:tr>
        <w:tc>
          <w:tcPr>
            <w:tcW w:type="dxa" w:w="3024"/>
          </w:tcPr>
          <w:p>
            <w:pPr>
              <w:jc w:val="left"/>
            </w:pPr>
            <w:r/>
            <w:r>
              <w:rPr>
                <w:rFonts w:ascii="Times New Roman" w:hAnsi="Times New Roman" w:eastAsia="Times New Roman"/>
                <w:b w:val="0"/>
                <w:i w:val="0"/>
                <w:sz w:val="22"/>
              </w:rPr>
              <w:t>Sortino Ratio</w:t>
            </w:r>
          </w:p>
        </w:tc>
        <w:tc>
          <w:tcPr>
            <w:tcW w:type="dxa" w:w="3024"/>
          </w:tcPr>
          <w:p>
            <w:pPr>
              <w:jc w:val="left"/>
            </w:pPr>
            <w:r/>
            <w:r>
              <w:rPr>
                <w:rFonts w:ascii="Times New Roman" w:hAnsi="Times New Roman" w:eastAsia="Times New Roman"/>
                <w:b w:val="0"/>
                <w:i w:val="0"/>
                <w:sz w:val="22"/>
              </w:rPr>
              <w:t>Risk-adjusted return (downside only)</w:t>
            </w:r>
          </w:p>
        </w:tc>
        <w:tc>
          <w:tcPr>
            <w:tcW w:type="dxa" w:w="3024"/>
          </w:tcPr>
          <w:p>
            <w:pPr>
              <w:jc w:val="left"/>
            </w:pPr>
            <w:r/>
            <w:r>
              <w:rPr>
                <w:rFonts w:ascii="Times New Roman" w:hAnsi="Times New Roman" w:eastAsia="Times New Roman"/>
                <w:b w:val="0"/>
                <w:i w:val="0"/>
                <w:sz w:val="22"/>
              </w:rPr>
              <w:t>More relevant than Sharpe for loss-averse investors</w:t>
            </w:r>
          </w:p>
        </w:tc>
      </w:tr>
    </w:tbl>
    <w:p>
      <w:pPr>
        <w:spacing w:after="200" w:before="80" w:line="360" w:lineRule="auto"/>
        <w:jc w:val="center"/>
      </w:pPr>
      <w:bookmarkStart w:id="9" w:name="_Table_4_1"/>
      <w:r>
        <w:rPr>
          <w:rFonts w:ascii="Times New Roman" w:hAnsi="Times New Roman" w:eastAsia="Times New Roman"/>
          <w:b w:val="0"/>
          <w:i/>
          <w:sz w:val="22"/>
        </w:rPr>
        <w:t>Table 4.1: Key risk metrics provided by the platform.</w:t>
      </w:r>
      <w:bookmarkEnd w:id="9"/>
    </w:p>
    <w:p>
      <w:pPr>
        <w:spacing w:after="120" w:before="0" w:line="360" w:lineRule="auto"/>
        <w:ind w:firstLine="720"/>
        <w:jc w:val="both"/>
      </w:pPr>
      <w:r>
        <w:rPr>
          <w:rFonts w:ascii="Times New Roman" w:hAnsi="Times New Roman" w:eastAsia="Times New Roman"/>
          <w:b w:val="0"/>
          <w:i w:val="0"/>
          <w:sz w:val="26"/>
        </w:rPr>
        <w:t>Together, these give retail investors access to the same risk management toolkit that institutional fund managers use.</w:t>
      </w:r>
    </w:p>
    <w:p>
      <w:pPr>
        <w:spacing w:before="240" w:after="120" w:line="360" w:lineRule="auto"/>
        <w:jc w:val="left"/>
        <w:outlineLvl w:val="1"/>
      </w:pPr>
      <w:r>
        <w:rPr>
          <w:rFonts w:ascii="Times New Roman" w:hAnsi="Times New Roman" w:eastAsia="Times New Roman"/>
          <w:b/>
          <w:i w:val="0"/>
          <w:color w:val="000000"/>
          <w:sz w:val="28"/>
        </w:rPr>
        <w:t>4.6 AI-Assisted Analysis</w:t>
      </w:r>
    </w:p>
    <w:p>
      <w:pPr>
        <w:spacing w:after="120" w:before="0" w:line="360" w:lineRule="auto"/>
        <w:ind w:firstLine="720"/>
        <w:jc w:val="both"/>
      </w:pPr>
      <w:r>
        <w:rPr>
          <w:rFonts w:ascii="Times New Roman" w:hAnsi="Times New Roman" w:eastAsia="Times New Roman"/>
          <w:b w:val="0"/>
          <w:i w:val="0"/>
          <w:sz w:val="26"/>
        </w:rPr>
        <w:t>The platform includes an AI assistant that answers financial analysis questions by computing results through the platform’s own internal modules. When a user asks about a specific metric — say, the Sharpe ratio of a particular strategy — the assistant calls the relevant tool, retrieves the computed value, and builds its response around that number with an explicit data reference.</w:t>
      </w:r>
    </w:p>
    <w:p>
      <w:pPr>
        <w:spacing w:after="120" w:before="0" w:line="360" w:lineRule="auto"/>
        <w:ind w:firstLine="720"/>
        <w:jc w:val="both"/>
      </w:pPr>
      <w:r>
        <w:rPr>
          <w:rFonts w:ascii="Times New Roman" w:hAnsi="Times New Roman" w:eastAsia="Times New Roman"/>
          <w:b w:val="0"/>
          <w:i w:val="0"/>
          <w:sz w:val="26"/>
        </w:rPr>
        <w:t>The key design choice is what happens when the assistant cannot ground a claim. Rather than generating a plausible-sounding number, it declines and explains why. This is deliberately conservative: in a financial context, a wrong number that sounds authoritative can cause more harm than saying "I don’t have enough data to answer that."</w:t>
      </w:r>
    </w:p>
    <w:p>
      <w:pPr>
        <w:spacing w:before="240" w:after="120" w:line="360" w:lineRule="auto"/>
        <w:jc w:val="left"/>
        <w:outlineLvl w:val="1"/>
      </w:pPr>
      <w:r>
        <w:rPr>
          <w:rFonts w:ascii="Times New Roman" w:hAnsi="Times New Roman" w:eastAsia="Times New Roman"/>
          <w:b/>
          <w:i w:val="0"/>
          <w:color w:val="000000"/>
          <w:sz w:val="28"/>
        </w:rPr>
        <w:t>4.7 Discussion</w:t>
      </w:r>
    </w:p>
    <w:p>
      <w:pPr>
        <w:spacing w:before="240" w:after="120" w:line="360" w:lineRule="auto"/>
        <w:jc w:val="left"/>
        <w:outlineLvl w:val="2"/>
      </w:pPr>
      <w:r>
        <w:rPr>
          <w:rFonts w:ascii="Times New Roman" w:hAnsi="Times New Roman" w:eastAsia="Times New Roman"/>
          <w:b/>
          <w:i w:val="0"/>
          <w:color w:val="000000"/>
          <w:sz w:val="26"/>
        </w:rPr>
        <w:t>4.7.1 Addressing the Research Gap</w:t>
      </w:r>
    </w:p>
    <w:p>
      <w:pPr>
        <w:spacing w:after="120" w:before="0" w:line="360" w:lineRule="auto"/>
        <w:ind w:firstLine="720"/>
        <w:jc w:val="both"/>
      </w:pPr>
      <w:r>
        <w:rPr>
          <w:rFonts w:ascii="Times New Roman" w:hAnsi="Times New Roman" w:eastAsia="Times New Roman"/>
          <w:b w:val="0"/>
          <w:i w:val="0"/>
          <w:sz w:val="26"/>
        </w:rPr>
        <w:t>The gap from Chapters 1 and 2 is clear: institutional investors in Vietnam use terminals like Bloomberg and FiinPro, but retail investors — who make up over 80% of daily HOSE volume — have had no integrated quantitative toolset. QuantVN Strategy Forge is built to fill that space, putting screening, backtesting, portfolio optimisation, and risk assessment into one browser-based interface tailored for the Vietnamese market.</w:t>
      </w:r>
    </w:p>
    <w:p>
      <w:pPr>
        <w:spacing w:before="240" w:after="120" w:line="360" w:lineRule="auto"/>
        <w:jc w:val="left"/>
        <w:outlineLvl w:val="2"/>
      </w:pPr>
      <w:r>
        <w:rPr>
          <w:rFonts w:ascii="Times New Roman" w:hAnsi="Times New Roman" w:eastAsia="Times New Roman"/>
          <w:b/>
          <w:i w:val="0"/>
          <w:color w:val="000000"/>
          <w:sz w:val="26"/>
        </w:rPr>
        <w:t>4.7.2 Value of Local Market Parameters</w:t>
      </w:r>
    </w:p>
    <w:p>
      <w:pPr>
        <w:spacing w:after="120" w:before="0" w:line="360" w:lineRule="auto"/>
        <w:ind w:firstLine="720"/>
        <w:jc w:val="both"/>
      </w:pPr>
      <w:r>
        <w:rPr>
          <w:rFonts w:ascii="Times New Roman" w:hAnsi="Times New Roman" w:eastAsia="Times New Roman"/>
          <w:b w:val="0"/>
          <w:i w:val="0"/>
          <w:sz w:val="26"/>
        </w:rPr>
        <w:t>Integrating HOSE's 100-share lot size, Vietnam's sell-side tax, and realistic execution assumptions into the backtesting engine makes a practical difference. Without these, strategies can look profitable in simulation while actually being unprofitable after local costs are factored in. This is not a theoretical concern — it directly affects how retail investors allocate capital.</w:t>
      </w:r>
    </w:p>
    <w:p>
      <w:pPr>
        <w:spacing w:before="240" w:after="120" w:line="360" w:lineRule="auto"/>
        <w:jc w:val="left"/>
        <w:outlineLvl w:val="2"/>
      </w:pPr>
      <w:r>
        <w:rPr>
          <w:rFonts w:ascii="Times New Roman" w:hAnsi="Times New Roman" w:eastAsia="Times New Roman"/>
          <w:b/>
          <w:i w:val="0"/>
          <w:color w:val="000000"/>
          <w:sz w:val="26"/>
        </w:rPr>
        <w:t>4.7.3 Data Quality Foundation</w:t>
      </w:r>
    </w:p>
    <w:p>
      <w:pPr>
        <w:spacing w:after="120" w:before="0" w:line="360" w:lineRule="auto"/>
        <w:ind w:firstLine="720"/>
        <w:jc w:val="both"/>
      </w:pPr>
      <w:r>
        <w:rPr>
          <w:rFonts w:ascii="Times New Roman" w:hAnsi="Times New Roman" w:eastAsia="Times New Roman"/>
          <w:b w:val="0"/>
          <w:i w:val="0"/>
          <w:sz w:val="26"/>
        </w:rPr>
        <w:t>The validation pipeline traces every result back to verified inputs. Because the platform uses vnstock — a free but raw data source — corporate action gaps, trading halts, and coverage variations need to be handled explicitly. The pipeline makes these trade-offs visible rather than hiding them.</w:t>
      </w:r>
    </w:p>
    <w:p>
      <w:pPr>
        <w:spacing w:before="240" w:after="120" w:line="360" w:lineRule="auto"/>
        <w:jc w:val="left"/>
        <w:outlineLvl w:val="2"/>
      </w:pPr>
      <w:r>
        <w:rPr>
          <w:rFonts w:ascii="Times New Roman" w:hAnsi="Times New Roman" w:eastAsia="Times New Roman"/>
          <w:b/>
          <w:i w:val="0"/>
          <w:color w:val="000000"/>
          <w:sz w:val="26"/>
        </w:rPr>
        <w:t>4.7.4 Limitations</w:t>
      </w:r>
    </w:p>
    <w:p>
      <w:pPr>
        <w:spacing w:after="120" w:before="0" w:line="360" w:lineRule="auto"/>
        <w:ind w:firstLine="720"/>
        <w:jc w:val="both"/>
      </w:pPr>
      <w:r>
        <w:rPr>
          <w:rFonts w:ascii="Times New Roman" w:hAnsi="Times New Roman" w:eastAsia="Times New Roman"/>
          <w:b w:val="0"/>
          <w:i w:val="0"/>
          <w:sz w:val="26"/>
        </w:rPr>
        <w:t>Backtesting results are historical and should not be read as predictions of future performance. Only technical analysis strategies are currently supported — fundamental and event-driven strategies are not yet available. Coverage is limited to HOSE; the HNX and UPCoM exchanges are not included.</w:t>
      </w:r>
    </w:p>
    <w:p>
      <w:pPr>
        <w:spacing w:before="240" w:after="120" w:line="360" w:lineRule="auto"/>
        <w:jc w:val="left"/>
        <w:outlineLvl w:val="2"/>
      </w:pPr>
      <w:r>
        <w:rPr>
          <w:rFonts w:ascii="Times New Roman" w:hAnsi="Times New Roman" w:eastAsia="Times New Roman"/>
          <w:b/>
          <w:i w:val="0"/>
          <w:color w:val="000000"/>
          <w:sz w:val="26"/>
        </w:rPr>
        <w:t>4.7.5 Hypothesis Evaluation</w:t>
      </w:r>
    </w:p>
    <w:p>
      <w:pPr>
        <w:spacing w:after="120" w:before="0" w:line="360" w:lineRule="auto"/>
        <w:ind w:firstLine="720"/>
        <w:jc w:val="both"/>
      </w:pPr>
      <w:r>
        <w:rPr>
          <w:rFonts w:ascii="Times New Roman" w:hAnsi="Times New Roman" w:eastAsia="Times New Roman"/>
          <w:b w:val="0"/>
          <w:i w:val="0"/>
          <w:sz w:val="26"/>
        </w:rPr>
        <w:t>The results presented in this chapter allow the research hypotheses (formulated in Chapter 2) to be evaluated as follows: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H1</w:t>
      </w:r>
      <w:r>
        <w:rPr>
          <w:rFonts w:ascii="Times New Roman" w:hAnsi="Times New Roman" w:eastAsia="Times New Roman"/>
          <w:b w:val="0"/>
          <w:i w:val="0"/>
          <w:sz w:val="26"/>
        </w:rPr>
        <w:t xml:space="preserve"> </w:t>
      </w:r>
      <w:r>
        <w:rPr>
          <w:rFonts w:ascii="Times New Roman" w:hAnsi="Times New Roman" w:eastAsia="Times New Roman"/>
          <w:b w:val="0"/>
          <w:i/>
          <w:sz w:val="26"/>
        </w:rPr>
        <w:t>(Platform accessibility without programming knowledge)</w:t>
      </w:r>
      <w:r>
        <w:rPr>
          <w:rFonts w:ascii="Times New Roman" w:hAnsi="Times New Roman" w:eastAsia="Times New Roman"/>
          <w:b w:val="0"/>
          <w:i w:val="0"/>
          <w:sz w:val="26"/>
        </w:rPr>
        <w:t xml:space="preserve"> — </w:t>
      </w:r>
      <w:r>
        <w:rPr>
          <w:rFonts w:ascii="Times New Roman" w:hAnsi="Times New Roman" w:eastAsia="Times New Roman"/>
          <w:b/>
          <w:i w:val="0"/>
          <w:sz w:val="26"/>
        </w:rPr>
        <w:t>Supported.</w:t>
      </w:r>
      <w:r>
        <w:rPr>
          <w:rFonts w:ascii="Times New Roman" w:hAnsi="Times New Roman" w:eastAsia="Times New Roman"/>
          <w:b w:val="0"/>
          <w:i w:val="0"/>
          <w:sz w:val="26"/>
        </w:rPr>
        <w:t xml:space="preserve"> The platform is fully browser-based with 8 modules covering all identified analytical gaps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_Table_2_1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Table 2.1</w:t>
      </w:r>
      <w:r>
        <w:rPr>
          <w:rFonts w:ascii="Times New Roman" w:hAnsi="Times New Roman" w:eastAsia="Times New Roman"/>
          <w:b w:val="0"/>
          <w:i w:val="0"/>
          <w:sz w:val="26"/>
        </w:rPr>
        <w:fldChar w:fldCharType="end"/>
      </w:r>
      <w:r>
        <w:rPr>
          <w:rFonts w:ascii="Times New Roman" w:hAnsi="Times New Roman" w:eastAsia="Times New Roman"/>
          <w:b w:val="0"/>
          <w:i w:val="0"/>
          <w:sz w:val="26"/>
        </w:rPr>
        <w:t>). No installation or coding is required.</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H2</w:t>
      </w:r>
      <w:r>
        <w:rPr>
          <w:rFonts w:ascii="Times New Roman" w:hAnsi="Times New Roman" w:eastAsia="Times New Roman"/>
          <w:b w:val="0"/>
          <w:i w:val="0"/>
          <w:sz w:val="26"/>
        </w:rPr>
        <w:t xml:space="preserve"> </w:t>
      </w:r>
      <w:r>
        <w:rPr>
          <w:rFonts w:ascii="Times New Roman" w:hAnsi="Times New Roman" w:eastAsia="Times New Roman"/>
          <w:b w:val="0"/>
          <w:i/>
          <w:sz w:val="26"/>
        </w:rPr>
        <w:t>(Vietnamese market parameters improve backtest realism)</w:t>
      </w:r>
      <w:r>
        <w:rPr>
          <w:rFonts w:ascii="Times New Roman" w:hAnsi="Times New Roman" w:eastAsia="Times New Roman"/>
          <w:b w:val="0"/>
          <w:i w:val="0"/>
          <w:sz w:val="26"/>
        </w:rPr>
        <w:t xml:space="preserve"> — </w:t>
      </w:r>
      <w:r>
        <w:rPr>
          <w:rFonts w:ascii="Times New Roman" w:hAnsi="Times New Roman" w:eastAsia="Times New Roman"/>
          <w:b/>
          <w:i w:val="0"/>
          <w:sz w:val="26"/>
        </w:rPr>
        <w:t>Supported.</w:t>
      </w:r>
      <w:r>
        <w:rPr>
          <w:rFonts w:ascii="Times New Roman" w:hAnsi="Times New Roman" w:eastAsia="Times New Roman"/>
          <w:b w:val="0"/>
          <w:i w:val="0"/>
          <w:sz w:val="26"/>
        </w:rPr>
        <w:t xml:space="preserve"> Section 4.3 demonstrates integration of HOSE's 100-share lot size, local transaction costs, and next-open execution — all absent from existing international tools.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H3</w:t>
      </w:r>
      <w:r>
        <w:rPr>
          <w:rFonts w:ascii="Times New Roman" w:hAnsi="Times New Roman" w:eastAsia="Times New Roman"/>
          <w:b w:val="0"/>
          <w:i w:val="0"/>
          <w:sz w:val="26"/>
        </w:rPr>
        <w:t xml:space="preserve"> </w:t>
      </w:r>
      <w:r>
        <w:rPr>
          <w:rFonts w:ascii="Times New Roman" w:hAnsi="Times New Roman" w:eastAsia="Times New Roman"/>
          <w:b w:val="0"/>
          <w:i/>
          <w:sz w:val="26"/>
        </w:rPr>
        <w:t>(No-code strategy builder for non-technical investors)</w:t>
      </w:r>
      <w:r>
        <w:rPr>
          <w:rFonts w:ascii="Times New Roman" w:hAnsi="Times New Roman" w:eastAsia="Times New Roman"/>
          <w:b w:val="0"/>
          <w:i w:val="0"/>
          <w:sz w:val="26"/>
        </w:rPr>
        <w:t xml:space="preserve"> — </w:t>
      </w:r>
      <w:r>
        <w:rPr>
          <w:rFonts w:ascii="Times New Roman" w:hAnsi="Times New Roman" w:eastAsia="Times New Roman"/>
          <w:b/>
          <w:i w:val="0"/>
          <w:sz w:val="26"/>
        </w:rPr>
        <w:t>Supported.</w:t>
      </w:r>
      <w:r>
        <w:rPr>
          <w:rFonts w:ascii="Times New Roman" w:hAnsi="Times New Roman" w:eastAsia="Times New Roman"/>
          <w:b w:val="0"/>
          <w:i w:val="0"/>
          <w:sz w:val="26"/>
        </w:rPr>
        <w:t xml:space="preserve"> Section 4.4 demonstrates end-to-end strategy construction without code, addressing the gap in HOSE-compatible no-code tools.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H4</w:t>
      </w:r>
      <w:r>
        <w:rPr>
          <w:rFonts w:ascii="Times New Roman" w:hAnsi="Times New Roman" w:eastAsia="Times New Roman"/>
          <w:b w:val="0"/>
          <w:i w:val="0"/>
          <w:sz w:val="26"/>
        </w:rPr>
        <w:t xml:space="preserve"> </w:t>
      </w:r>
      <w:r>
        <w:rPr>
          <w:rFonts w:ascii="Times New Roman" w:hAnsi="Times New Roman" w:eastAsia="Times New Roman"/>
          <w:b w:val="0"/>
          <w:i/>
          <w:sz w:val="26"/>
        </w:rPr>
        <w:t>(Data validation ensures reliability for open-source data)</w:t>
      </w:r>
      <w:r>
        <w:rPr>
          <w:rFonts w:ascii="Times New Roman" w:hAnsi="Times New Roman" w:eastAsia="Times New Roman"/>
          <w:b w:val="0"/>
          <w:i w:val="0"/>
          <w:sz w:val="26"/>
        </w:rPr>
        <w:t xml:space="preserve"> — </w:t>
      </w:r>
      <w:r>
        <w:rPr>
          <w:rFonts w:ascii="Times New Roman" w:hAnsi="Times New Roman" w:eastAsia="Times New Roman"/>
          <w:b/>
          <w:i w:val="0"/>
          <w:sz w:val="26"/>
        </w:rPr>
        <w:t>Supported.</w:t>
      </w:r>
      <w:r>
        <w:rPr>
          <w:rFonts w:ascii="Times New Roman" w:hAnsi="Times New Roman" w:eastAsia="Times New Roman"/>
          <w:b w:val="0"/>
          <w:i w:val="0"/>
          <w:sz w:val="26"/>
        </w:rPr>
        <w:t xml:space="preserve"> The pipeline validates 768,718 records with explicit quality gates and diagnostics reported alongside every backtest result.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i w:val="0"/>
          <w:sz w:val="26"/>
        </w:rPr>
        <w:t>H5</w:t>
      </w:r>
      <w:r>
        <w:rPr>
          <w:rFonts w:ascii="Times New Roman" w:hAnsi="Times New Roman" w:eastAsia="Times New Roman"/>
          <w:b w:val="0"/>
          <w:i w:val="0"/>
          <w:sz w:val="26"/>
        </w:rPr>
        <w:t xml:space="preserve"> </w:t>
      </w:r>
      <w:r>
        <w:rPr>
          <w:rFonts w:ascii="Times New Roman" w:hAnsi="Times New Roman" w:eastAsia="Times New Roman"/>
          <w:b w:val="0"/>
          <w:i/>
          <w:sz w:val="26"/>
        </w:rPr>
        <w:t>(AI assistant with abstention avoids misleading outputs)</w:t>
      </w:r>
      <w:r>
        <w:rPr>
          <w:rFonts w:ascii="Times New Roman" w:hAnsi="Times New Roman" w:eastAsia="Times New Roman"/>
          <w:b w:val="0"/>
          <w:i w:val="0"/>
          <w:sz w:val="26"/>
        </w:rPr>
        <w:t xml:space="preserve"> — </w:t>
      </w:r>
      <w:r>
        <w:rPr>
          <w:rFonts w:ascii="Times New Roman" w:hAnsi="Times New Roman" w:eastAsia="Times New Roman"/>
          <w:b/>
          <w:i w:val="0"/>
          <w:sz w:val="26"/>
        </w:rPr>
        <w:t>Partially Supported.</w:t>
      </w:r>
      <w:r>
        <w:rPr>
          <w:rFonts w:ascii="Times New Roman" w:hAnsi="Times New Roman" w:eastAsia="Times New Roman"/>
          <w:b w:val="0"/>
          <w:i w:val="0"/>
          <w:sz w:val="26"/>
        </w:rPr>
        <w:t xml:space="preserve"> Section 4.6 demonstrates the grounding mechanism and abstention policy; formal user evaluation has not been conducted.</w:t>
      </w:r>
    </w:p>
    <w:p>
      <w:pPr>
        <w:spacing w:after="120" w:before="0" w:line="360" w:lineRule="auto"/>
        <w:ind w:firstLine="720"/>
        <w:jc w:val="both"/>
      </w:pPr>
      <w:r>
        <w:rPr>
          <w:rFonts w:ascii="Times New Roman" w:hAnsi="Times New Roman" w:eastAsia="Times New Roman"/>
          <w:b w:val="0"/>
          <w:i w:val="0"/>
          <w:sz w:val="26"/>
        </w:rPr>
        <w:t>Detailed evidence and limitations for each hypothesis are provided in Appendix A.</w:t>
      </w:r>
    </w:p>
    <w:p>
      <w:pPr>
        <w:spacing w:before="240" w:after="120" w:line="360" w:lineRule="auto"/>
        <w:jc w:val="left"/>
        <w:outlineLvl w:val="1"/>
      </w:pPr>
      <w:r>
        <w:rPr>
          <w:rFonts w:ascii="Times New Roman" w:hAnsi="Times New Roman" w:eastAsia="Times New Roman"/>
          <w:b/>
          <w:i w:val="0"/>
          <w:color w:val="000000"/>
          <w:sz w:val="28"/>
        </w:rPr>
        <w:t>4.8 Chapter Summary</w:t>
      </w:r>
    </w:p>
    <w:p>
      <w:pPr>
        <w:spacing w:after="120" w:before="0" w:line="360" w:lineRule="auto"/>
        <w:ind w:firstLine="720"/>
        <w:jc w:val="both"/>
      </w:pPr>
      <w:r>
        <w:rPr>
          <w:rFonts w:ascii="Times New Roman" w:hAnsi="Times New Roman" w:eastAsia="Times New Roman"/>
          <w:b w:val="0"/>
          <w:i w:val="0"/>
          <w:sz w:val="26"/>
        </w:rPr>
        <w:t>This chapter has walked through the core capabilities of QuantVN Strategy Forge and the evidence for each research hypothesis. The platform fills a practical gap: Vietnamese retail investors can now screen stocks, backtest strategies with local market parameters, optimise portfolios, and assess risk — all in one interface, without needing to code or install anything.</w:t>
      </w:r>
    </w:p>
    <w:p>
      <w:r>
        <w:br w:type="page"/>
      </w:r>
    </w:p>
    <w:p>
      <w:pPr>
        <w:spacing w:before="360" w:after="120" w:line="360" w:lineRule="auto"/>
        <w:jc w:val="left"/>
        <w:outlineLvl w:val="0"/>
      </w:pPr>
      <w:r>
        <w:rPr>
          <w:rFonts w:ascii="Times New Roman" w:hAnsi="Times New Roman" w:eastAsia="Times New Roman"/>
          <w:b/>
          <w:i w:val="0"/>
          <w:color w:val="000000"/>
          <w:sz w:val="32"/>
        </w:rPr>
        <w:t>5. Conclusion and Recommendation</w:t>
      </w:r>
    </w:p>
    <w:p>
      <w:pPr>
        <w:spacing w:before="240" w:after="120" w:line="360" w:lineRule="auto"/>
        <w:jc w:val="left"/>
        <w:outlineLvl w:val="1"/>
      </w:pPr>
      <w:r>
        <w:rPr>
          <w:rFonts w:ascii="Times New Roman" w:hAnsi="Times New Roman" w:eastAsia="Times New Roman"/>
          <w:b/>
          <w:i w:val="0"/>
          <w:color w:val="000000"/>
          <w:sz w:val="28"/>
        </w:rPr>
        <w:t>5.1 Conclusion</w:t>
      </w:r>
    </w:p>
    <w:p>
      <w:pPr>
        <w:spacing w:after="120" w:before="0" w:line="360" w:lineRule="auto"/>
        <w:ind w:firstLine="720"/>
        <w:jc w:val="both"/>
      </w:pPr>
      <w:r>
        <w:rPr>
          <w:rFonts w:ascii="Times New Roman" w:hAnsi="Times New Roman" w:eastAsia="Times New Roman"/>
          <w:b w:val="0"/>
          <w:i w:val="0"/>
          <w:sz w:val="26"/>
        </w:rPr>
        <w:t>This thesis set out to design, build, and evaluate QuantVN Strategy Forge — a web-based quantitative analysis platform for Vietnamese equities on HOSE. The motivation is simple: retail investors make up over 80% of daily HOSE trading volume, yet they have had no access to integrated quantitative tools of the kind that institutional investors take for granted.</w:t>
      </w:r>
    </w:p>
    <w:p>
      <w:pPr>
        <w:spacing w:after="120" w:before="0" w:line="360" w:lineRule="auto"/>
        <w:ind w:firstLine="720"/>
        <w:jc w:val="both"/>
      </w:pPr>
      <w:r>
        <w:rPr>
          <w:rFonts w:ascii="Times New Roman" w:hAnsi="Times New Roman" w:eastAsia="Times New Roman"/>
          <w:b w:val="0"/>
          <w:i w:val="0"/>
          <w:sz w:val="26"/>
        </w:rPr>
        <w:t>The platform brings together stock screening, interactive charting, strategy backtesting, portfolio optimisation, risk assessment, and AI-assisted analysis in a single browser-based interface. The backtesting engine is built around Vietnamese market realities: HOSE's 100-share lot size, applicable transaction costs, and next-open execution modelling — details that generic international tools do not account for.</w:t>
      </w:r>
    </w:p>
    <w:p>
      <w:pPr>
        <w:spacing w:after="120" w:before="0" w:line="360" w:lineRule="auto"/>
        <w:ind w:firstLine="720"/>
        <w:jc w:val="both"/>
      </w:pPr>
      <w:r>
        <w:rPr>
          <w:rFonts w:ascii="Times New Roman" w:hAnsi="Times New Roman" w:eastAsia="Times New Roman"/>
          <w:b w:val="0"/>
          <w:i w:val="0"/>
          <w:sz w:val="26"/>
        </w:rPr>
        <w:t>Four of the five research hypotheses (H1–H4) are supported by the evidence presented in Chapter 4: the platform is accessible without programming knowledge (H1), local market parameters are integrated into backtesting (H2), the visual Strategy Builder works without code (H3), and the data validation pipeline maintains analytical reliability for open-source data (H4). H5 is partially supported — the AI assistant's abstention mechanism functions as designed, but its effect on user trust has not been formally evaluated. Detailed evidence and limitations for each hypothesis are provided in Section 4.7.5 and Appendix A.</w:t>
      </w:r>
    </w:p>
    <w:p>
      <w:pPr>
        <w:spacing w:after="120" w:before="0" w:line="360" w:lineRule="auto"/>
        <w:ind w:firstLine="720"/>
        <w:jc w:val="both"/>
      </w:pPr>
      <w:r>
        <w:rPr>
          <w:rFonts w:ascii="Times New Roman" w:hAnsi="Times New Roman" w:eastAsia="Times New Roman"/>
          <w:b w:val="0"/>
          <w:i w:val="0"/>
          <w:sz w:val="26"/>
        </w:rPr>
        <w:t>The main limitation across all hypotheses is the absence of formal user studies. The claims are grounded in design implementation and functional demonstration rather than controlled experiments with end users. This is an acknowledged trade-off: building a working platform was prioritised over running user evaluations within the scope of this thesis.</w:t>
      </w:r>
    </w:p>
    <w:p>
      <w:pPr>
        <w:spacing w:before="240" w:after="120" w:line="360" w:lineRule="auto"/>
        <w:jc w:val="left"/>
        <w:outlineLvl w:val="1"/>
      </w:pPr>
      <w:r>
        <w:rPr>
          <w:rFonts w:ascii="Times New Roman" w:hAnsi="Times New Roman" w:eastAsia="Times New Roman"/>
          <w:b/>
          <w:i w:val="0"/>
          <w:color w:val="000000"/>
          <w:sz w:val="28"/>
        </w:rPr>
        <w:t>5.2 Recommendation</w:t>
      </w:r>
    </w:p>
    <w:p>
      <w:pPr>
        <w:spacing w:after="120" w:before="0" w:line="360" w:lineRule="auto"/>
        <w:ind w:firstLine="720"/>
        <w:jc w:val="both"/>
      </w:pPr>
      <w:r>
        <w:rPr>
          <w:rFonts w:ascii="Times New Roman" w:hAnsi="Times New Roman" w:eastAsia="Times New Roman"/>
          <w:b w:val="0"/>
          <w:i w:val="0"/>
          <w:sz w:val="26"/>
        </w:rPr>
        <w:t>Several directions follow from this work:</w:t>
      </w:r>
    </w:p>
    <w:p>
      <w:pPr>
        <w:spacing w:after="120" w:before="0" w:line="360" w:lineRule="auto"/>
        <w:ind w:firstLine="720"/>
        <w:jc w:val="both"/>
      </w:pPr>
      <w:r>
        <w:rPr>
          <w:rFonts w:ascii="Times New Roman" w:hAnsi="Times New Roman" w:eastAsia="Times New Roman"/>
          <w:b/>
          <w:i w:val="0"/>
          <w:sz w:val="26"/>
        </w:rPr>
        <w:t>For platform development:</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Expand data coverage to include HNX and UPCoM exchanges, giving users a more complete picture of the Vietnamese equity market.</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Add corporate action adjustments (splits, dividends, rights issues) to historical price data. Without these, long-term backtests can produce misleading return calculations.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Move beyond purely technical strategies. Fundamental screening strategies (based on P/E, P/B, ROE) and multi-factor strategies that combine price and fundamental signals would significantly broaden the platform's usefulness.</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Build a strategy-sharing community where users can publish, compare, and discuss backtested strategies — turning the platform into a collaborative learning environment.</w:t>
      </w:r>
    </w:p>
    <w:p>
      <w:pPr>
        <w:spacing w:after="120" w:before="0" w:line="360" w:lineRule="auto"/>
        <w:ind w:firstLine="720"/>
        <w:jc w:val="both"/>
      </w:pPr>
      <w:r>
        <w:rPr>
          <w:rFonts w:ascii="Times New Roman" w:hAnsi="Times New Roman" w:eastAsia="Times New Roman"/>
          <w:b/>
          <w:i w:val="0"/>
          <w:sz w:val="26"/>
        </w:rPr>
        <w:t>For academic research:</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Run comparative studies between the platform's backtesting outputs and actual trading records of Vietnamese retail investors. This would provide concrete evidence of whether systematic tools improve decision-making quality.</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Test which portfolio optimisation methods actually work best in the Vietnamese market, where liquidity constraints and market microstructure are different from the developed-market settings where most optimisation methods were originally tested.</w:t>
      </w:r>
    </w:p>
    <w:p>
      <w:pPr>
        <w:spacing w:after="60" w:before="0" w:line="360" w:lineRule="auto"/>
        <w:ind w:left="720"/>
        <w:jc w:val="both"/>
      </w:pPr>
      <w:r>
        <w:rPr>
          <w:rFonts w:ascii="Times New Roman" w:hAnsi="Times New Roman" w:eastAsia="Times New Roman"/>
          <w:b w:val="0"/>
          <w:i w:val="0"/>
          <w:sz w:val="26"/>
        </w:rPr>
        <w:t xml:space="preserve">1.  </w:t>
      </w:r>
      <w:r>
        <w:rPr>
          <w:rFonts w:ascii="Times New Roman" w:hAnsi="Times New Roman" w:eastAsia="Times New Roman"/>
          <w:b w:val="0"/>
          <w:i w:val="0"/>
          <w:sz w:val="26"/>
        </w:rPr>
        <w:t>Study how users respond to the AI assistant's abstention behaviour. The right balance between "reliable but conservative" and "comprehensive but risky" is an open question in financial technology design.</w:t>
      </w:r>
    </w:p>
    <w:p>
      <w:r>
        <w:br w:type="page"/>
      </w:r>
    </w:p>
    <w:p>
      <w:pPr>
        <w:spacing w:before="360" w:after="120" w:line="360" w:lineRule="auto"/>
        <w:jc w:val="left"/>
      </w:pPr>
      <w:r>
        <w:rPr>
          <w:rFonts w:ascii="Times New Roman" w:hAnsi="Times New Roman" w:eastAsia="Times New Roman"/>
          <w:b/>
          <w:i w:val="0"/>
          <w:color w:val="000000"/>
          <w:sz w:val="32"/>
        </w:rPr>
        <w:t>TÀI LIỆU THAM KHẢO</w:t>
      </w:r>
    </w:p>
    <w:p>
      <w:pPr>
        <w:spacing w:after="80" w:before="40" w:line="312" w:lineRule="auto"/>
        <w:ind w:hanging="720" w:left="720"/>
        <w:jc w:val="both"/>
      </w:pPr>
      <w:r>
        <w:rPr>
          <w:rFonts w:ascii="Times New Roman" w:hAnsi="Times New Roman" w:eastAsia="Times New Roman"/>
          <w:b w:val="0"/>
          <w:i w:val="0"/>
          <w:sz w:val="24"/>
        </w:rPr>
        <w:t xml:space="preserve">Algotrade. (n.d.). </w:t>
      </w:r>
      <w:r>
        <w:rPr>
          <w:rFonts w:ascii="Times New Roman" w:hAnsi="Times New Roman" w:eastAsia="Times New Roman"/>
          <w:b w:val="0"/>
          <w:i/>
          <w:sz w:val="24"/>
        </w:rPr>
        <w:t>Algorithmic trading platform for Vietnamese markets</w:t>
      </w:r>
      <w:r>
        <w:rPr>
          <w:rFonts w:ascii="Times New Roman" w:hAnsi="Times New Roman" w:eastAsia="Times New Roman"/>
          <w:b w:val="0"/>
          <w:i w:val="0"/>
          <w:sz w:val="24"/>
        </w:rPr>
        <w:t>. Retrieved February 22, 2026, from https://algotrade.vn</w:t>
      </w:r>
    </w:p>
    <w:p>
      <w:pPr>
        <w:spacing w:after="80" w:before="40" w:line="312" w:lineRule="auto"/>
        <w:ind w:hanging="720" w:left="720"/>
        <w:jc w:val="both"/>
      </w:pPr>
      <w:r>
        <w:rPr>
          <w:rFonts w:ascii="Times New Roman" w:hAnsi="Times New Roman" w:eastAsia="Times New Roman"/>
          <w:b w:val="0"/>
          <w:i w:val="0"/>
          <w:sz w:val="24"/>
        </w:rPr>
        <w:t xml:space="preserve">Artzner, P., Delbaen, F., Eber, J.-M., &amp; Heath, D. (1999). Coherent measures of risk. </w:t>
      </w:r>
      <w:r>
        <w:rPr>
          <w:rFonts w:ascii="Times New Roman" w:hAnsi="Times New Roman" w:eastAsia="Times New Roman"/>
          <w:b w:val="0"/>
          <w:i/>
          <w:sz w:val="24"/>
        </w:rPr>
        <w:t>Mathematical Finance</w:t>
      </w:r>
      <w:r>
        <w:rPr>
          <w:rFonts w:ascii="Times New Roman" w:hAnsi="Times New Roman" w:eastAsia="Times New Roman"/>
          <w:b w:val="0"/>
          <w:i w:val="0"/>
          <w:sz w:val="24"/>
        </w:rPr>
        <w:t xml:space="preserve">, </w:t>
      </w:r>
      <w:r>
        <w:rPr>
          <w:rFonts w:ascii="Times New Roman" w:hAnsi="Times New Roman" w:eastAsia="Times New Roman"/>
          <w:b w:val="0"/>
          <w:i/>
          <w:sz w:val="24"/>
        </w:rPr>
        <w:t>9</w:t>
      </w:r>
      <w:r>
        <w:rPr>
          <w:rFonts w:ascii="Times New Roman" w:hAnsi="Times New Roman" w:eastAsia="Times New Roman"/>
          <w:b w:val="0"/>
          <w:i w:val="0"/>
          <w:sz w:val="24"/>
        </w:rPr>
        <w:t>(3), 203–228. https://doi.org/10.1111/1467-9965.00068</w:t>
      </w:r>
    </w:p>
    <w:p>
      <w:pPr>
        <w:spacing w:after="80" w:before="40" w:line="312" w:lineRule="auto"/>
        <w:ind w:hanging="720" w:left="720"/>
        <w:jc w:val="both"/>
      </w:pPr>
      <w:r>
        <w:rPr>
          <w:rFonts w:ascii="Times New Roman" w:hAnsi="Times New Roman" w:eastAsia="Times New Roman"/>
          <w:b w:val="0"/>
          <w:i w:val="0"/>
          <w:sz w:val="24"/>
        </w:rPr>
        <w:t xml:space="preserve">Bailey, D. H., Borwein, J. M., López de Prado, M., &amp; Zhu, Q. J. (2016). The probability of backtest overfitting. </w:t>
      </w:r>
      <w:r>
        <w:rPr>
          <w:rFonts w:ascii="Times New Roman" w:hAnsi="Times New Roman" w:eastAsia="Times New Roman"/>
          <w:b w:val="0"/>
          <w:i/>
          <w:sz w:val="24"/>
        </w:rPr>
        <w:t>Journal of Computational Finance</w:t>
      </w:r>
      <w:r>
        <w:rPr>
          <w:rFonts w:ascii="Times New Roman" w:hAnsi="Times New Roman" w:eastAsia="Times New Roman"/>
          <w:b w:val="0"/>
          <w:i w:val="0"/>
          <w:sz w:val="24"/>
        </w:rPr>
        <w:t xml:space="preserve">, </w:t>
      </w:r>
      <w:r>
        <w:rPr>
          <w:rFonts w:ascii="Times New Roman" w:hAnsi="Times New Roman" w:eastAsia="Times New Roman"/>
          <w:b w:val="0"/>
          <w:i/>
          <w:sz w:val="24"/>
        </w:rPr>
        <w:t>20</w:t>
      </w:r>
      <w:r>
        <w:rPr>
          <w:rFonts w:ascii="Times New Roman" w:hAnsi="Times New Roman" w:eastAsia="Times New Roman"/>
          <w:b w:val="0"/>
          <w:i w:val="0"/>
          <w:sz w:val="24"/>
        </w:rPr>
        <w:t>(4), 39–69. https://doi.org/10.21314/JCF.2016.322</w:t>
      </w:r>
    </w:p>
    <w:p>
      <w:pPr>
        <w:spacing w:after="80" w:before="40" w:line="312" w:lineRule="auto"/>
        <w:ind w:hanging="720" w:left="720"/>
        <w:jc w:val="both"/>
      </w:pPr>
      <w:r>
        <w:rPr>
          <w:rFonts w:ascii="Times New Roman" w:hAnsi="Times New Roman" w:eastAsia="Times New Roman"/>
          <w:b w:val="0"/>
          <w:i w:val="0"/>
          <w:sz w:val="24"/>
        </w:rPr>
        <w:t xml:space="preserve">Chen, Z., Chen, W., Smiley, C., Shah, S., Borova, I., Langdon, D., Moussa, R., Beane, M., Huang, T.-H., Routledge, B. R., &amp; Wang, W. Y. (2021). FinQA: A dataset of numerical reasoning over financial data. In </w:t>
      </w:r>
      <w:r>
        <w:rPr>
          <w:rFonts w:ascii="Times New Roman" w:hAnsi="Times New Roman" w:eastAsia="Times New Roman"/>
          <w:b w:val="0"/>
          <w:i/>
          <w:sz w:val="24"/>
        </w:rPr>
        <w:t>Proceedings of the 2021 Conference on Empirical Methods in Natural Language Processing</w:t>
      </w:r>
      <w:r>
        <w:rPr>
          <w:rFonts w:ascii="Times New Roman" w:hAnsi="Times New Roman" w:eastAsia="Times New Roman"/>
          <w:b w:val="0"/>
          <w:i w:val="0"/>
          <w:sz w:val="24"/>
        </w:rPr>
        <w:t xml:space="preserve"> (pp. 3697–3711). Association for Computational Linguistics. https://doi.org/10.18653/v1/2021.emnlp-main.300</w:t>
      </w:r>
    </w:p>
    <w:p>
      <w:pPr>
        <w:spacing w:after="80" w:before="40" w:line="312" w:lineRule="auto"/>
        <w:ind w:hanging="720" w:left="720"/>
        <w:jc w:val="both"/>
      </w:pPr>
      <w:r>
        <w:rPr>
          <w:rFonts w:ascii="Times New Roman" w:hAnsi="Times New Roman" w:eastAsia="Times New Roman"/>
          <w:b w:val="0"/>
          <w:i w:val="0"/>
          <w:sz w:val="24"/>
        </w:rPr>
        <w:t xml:space="preserve">Es, S., James, J., Espinosa-Anke, L., &amp; Schockaert, S. (2023). RAGAS: Automated evaluation of retrieval augmented generation. </w:t>
      </w:r>
      <w:r>
        <w:rPr>
          <w:rFonts w:ascii="Times New Roman" w:hAnsi="Times New Roman" w:eastAsia="Times New Roman"/>
          <w:b w:val="0"/>
          <w:i/>
          <w:sz w:val="24"/>
        </w:rPr>
        <w:t>arXiv preprint arXiv:2309.15217</w:t>
      </w:r>
      <w:r>
        <w:rPr>
          <w:rFonts w:ascii="Times New Roman" w:hAnsi="Times New Roman" w:eastAsia="Times New Roman"/>
          <w:b w:val="0"/>
          <w:i w:val="0"/>
          <w:sz w:val="24"/>
        </w:rPr>
        <w:t>. https://doi.org/10.48550/arXiv.2309.15217</w:t>
      </w:r>
    </w:p>
    <w:p>
      <w:pPr>
        <w:spacing w:after="80" w:before="40" w:line="312" w:lineRule="auto"/>
        <w:ind w:hanging="720" w:left="720"/>
        <w:jc w:val="both"/>
      </w:pPr>
      <w:r>
        <w:rPr>
          <w:rFonts w:ascii="Times New Roman" w:hAnsi="Times New Roman" w:eastAsia="Times New Roman"/>
          <w:b w:val="0"/>
          <w:i w:val="0"/>
          <w:sz w:val="24"/>
        </w:rPr>
        <w:t xml:space="preserve">Fama, E. F. (1970). Efficient capital markets: A review of theory and empirical work. </w:t>
      </w:r>
      <w:r>
        <w:rPr>
          <w:rFonts w:ascii="Times New Roman" w:hAnsi="Times New Roman" w:eastAsia="Times New Roman"/>
          <w:b w:val="0"/>
          <w:i/>
          <w:sz w:val="24"/>
        </w:rPr>
        <w:t>The Journal of Finance</w:t>
      </w:r>
      <w:r>
        <w:rPr>
          <w:rFonts w:ascii="Times New Roman" w:hAnsi="Times New Roman" w:eastAsia="Times New Roman"/>
          <w:b w:val="0"/>
          <w:i w:val="0"/>
          <w:sz w:val="24"/>
        </w:rPr>
        <w:t xml:space="preserve">, </w:t>
      </w:r>
      <w:r>
        <w:rPr>
          <w:rFonts w:ascii="Times New Roman" w:hAnsi="Times New Roman" w:eastAsia="Times New Roman"/>
          <w:b w:val="0"/>
          <w:i/>
          <w:sz w:val="24"/>
        </w:rPr>
        <w:t>25</w:t>
      </w:r>
      <w:r>
        <w:rPr>
          <w:rFonts w:ascii="Times New Roman" w:hAnsi="Times New Roman" w:eastAsia="Times New Roman"/>
          <w:b w:val="0"/>
          <w:i w:val="0"/>
          <w:sz w:val="24"/>
        </w:rPr>
        <w:t>(2), 383–417. https://doi.org/10.2307/2325486</w:t>
      </w:r>
    </w:p>
    <w:p>
      <w:pPr>
        <w:spacing w:after="80" w:before="40" w:line="312" w:lineRule="auto"/>
        <w:ind w:hanging="720" w:left="720"/>
        <w:jc w:val="both"/>
      </w:pPr>
      <w:r>
        <w:rPr>
          <w:rFonts w:ascii="Times New Roman" w:hAnsi="Times New Roman" w:eastAsia="Times New Roman"/>
          <w:b w:val="0"/>
          <w:i w:val="0"/>
          <w:sz w:val="24"/>
        </w:rPr>
        <w:t xml:space="preserve">Fama, E. F., &amp; French, K. R. (1993). Common risk factors in the returns on stocks and bonds. </w:t>
      </w:r>
      <w:r>
        <w:rPr>
          <w:rFonts w:ascii="Times New Roman" w:hAnsi="Times New Roman" w:eastAsia="Times New Roman"/>
          <w:b w:val="0"/>
          <w:i/>
          <w:sz w:val="24"/>
        </w:rPr>
        <w:t>Journal of Financial Economics</w:t>
      </w:r>
      <w:r>
        <w:rPr>
          <w:rFonts w:ascii="Times New Roman" w:hAnsi="Times New Roman" w:eastAsia="Times New Roman"/>
          <w:b w:val="0"/>
          <w:i w:val="0"/>
          <w:sz w:val="24"/>
        </w:rPr>
        <w:t xml:space="preserve">, </w:t>
      </w:r>
      <w:r>
        <w:rPr>
          <w:rFonts w:ascii="Times New Roman" w:hAnsi="Times New Roman" w:eastAsia="Times New Roman"/>
          <w:b w:val="0"/>
          <w:i/>
          <w:sz w:val="24"/>
        </w:rPr>
        <w:t>33</w:t>
      </w:r>
      <w:r>
        <w:rPr>
          <w:rFonts w:ascii="Times New Roman" w:hAnsi="Times New Roman" w:eastAsia="Times New Roman"/>
          <w:b w:val="0"/>
          <w:i w:val="0"/>
          <w:sz w:val="24"/>
        </w:rPr>
        <w:t>(1), 3–56. https://doi.org/10.1016/0304-405X(93)90023-5</w:t>
      </w:r>
    </w:p>
    <w:p>
      <w:pPr>
        <w:spacing w:after="80" w:before="40" w:line="312" w:lineRule="auto"/>
        <w:ind w:hanging="720" w:left="720"/>
        <w:jc w:val="both"/>
      </w:pPr>
      <w:r>
        <w:rPr>
          <w:rFonts w:ascii="Times New Roman" w:hAnsi="Times New Roman" w:eastAsia="Times New Roman"/>
          <w:b w:val="0"/>
          <w:i w:val="0"/>
          <w:sz w:val="24"/>
        </w:rPr>
        <w:t xml:space="preserve">Fama, E. F., &amp; French, K. R. (2015). A five-factor asset pricing model. </w:t>
      </w:r>
      <w:r>
        <w:rPr>
          <w:rFonts w:ascii="Times New Roman" w:hAnsi="Times New Roman" w:eastAsia="Times New Roman"/>
          <w:b w:val="0"/>
          <w:i/>
          <w:sz w:val="24"/>
        </w:rPr>
        <w:t>Journal of Financial Economics</w:t>
      </w:r>
      <w:r>
        <w:rPr>
          <w:rFonts w:ascii="Times New Roman" w:hAnsi="Times New Roman" w:eastAsia="Times New Roman"/>
          <w:b w:val="0"/>
          <w:i w:val="0"/>
          <w:sz w:val="24"/>
        </w:rPr>
        <w:t xml:space="preserve">, </w:t>
      </w:r>
      <w:r>
        <w:rPr>
          <w:rFonts w:ascii="Times New Roman" w:hAnsi="Times New Roman" w:eastAsia="Times New Roman"/>
          <w:b w:val="0"/>
          <w:i/>
          <w:sz w:val="24"/>
        </w:rPr>
        <w:t>116</w:t>
      </w:r>
      <w:r>
        <w:rPr>
          <w:rFonts w:ascii="Times New Roman" w:hAnsi="Times New Roman" w:eastAsia="Times New Roman"/>
          <w:b w:val="0"/>
          <w:i w:val="0"/>
          <w:sz w:val="24"/>
        </w:rPr>
        <w:t>(1), 1–22. https://doi.org/10.1016/j.jfineco.2014.10.010</w:t>
      </w:r>
    </w:p>
    <w:p>
      <w:pPr>
        <w:spacing w:after="80" w:before="40" w:line="312" w:lineRule="auto"/>
        <w:ind w:hanging="720" w:left="720"/>
        <w:jc w:val="both"/>
      </w:pPr>
      <w:r>
        <w:rPr>
          <w:rFonts w:ascii="Times New Roman" w:hAnsi="Times New Roman" w:eastAsia="Times New Roman"/>
          <w:b w:val="0"/>
          <w:i w:val="0"/>
          <w:sz w:val="24"/>
        </w:rPr>
        <w:t xml:space="preserve">FiinPro. (2024). </w:t>
      </w:r>
      <w:r>
        <w:rPr>
          <w:rFonts w:ascii="Times New Roman" w:hAnsi="Times New Roman" w:eastAsia="Times New Roman"/>
          <w:b w:val="0"/>
          <w:i/>
          <w:sz w:val="24"/>
        </w:rPr>
        <w:t>Vietnam securities market overview 2024</w:t>
      </w:r>
      <w:r>
        <w:rPr>
          <w:rFonts w:ascii="Times New Roman" w:hAnsi="Times New Roman" w:eastAsia="Times New Roman"/>
          <w:b w:val="0"/>
          <w:i w:val="0"/>
          <w:sz w:val="24"/>
        </w:rPr>
        <w:t>. FiinGroup. https://fiinpro.com</w:t>
      </w:r>
    </w:p>
    <w:p>
      <w:pPr>
        <w:spacing w:after="80" w:before="40" w:line="312" w:lineRule="auto"/>
        <w:ind w:hanging="720" w:left="720"/>
        <w:jc w:val="both"/>
      </w:pPr>
      <w:r>
        <w:rPr>
          <w:rFonts w:ascii="Times New Roman" w:hAnsi="Times New Roman" w:eastAsia="Times New Roman"/>
          <w:b w:val="0"/>
          <w:i w:val="0"/>
          <w:sz w:val="24"/>
        </w:rPr>
        <w:t xml:space="preserve">Harvey, C. R., Liu, Y., &amp; Zhu, H. (2016). …and the cross-section of expected returns. </w:t>
      </w:r>
      <w:r>
        <w:rPr>
          <w:rFonts w:ascii="Times New Roman" w:hAnsi="Times New Roman" w:eastAsia="Times New Roman"/>
          <w:b w:val="0"/>
          <w:i/>
          <w:sz w:val="24"/>
        </w:rPr>
        <w:t>The Review of Financial Studies</w:t>
      </w:r>
      <w:r>
        <w:rPr>
          <w:rFonts w:ascii="Times New Roman" w:hAnsi="Times New Roman" w:eastAsia="Times New Roman"/>
          <w:b w:val="0"/>
          <w:i w:val="0"/>
          <w:sz w:val="24"/>
        </w:rPr>
        <w:t xml:space="preserve">, </w:t>
      </w:r>
      <w:r>
        <w:rPr>
          <w:rFonts w:ascii="Times New Roman" w:hAnsi="Times New Roman" w:eastAsia="Times New Roman"/>
          <w:b w:val="0"/>
          <w:i/>
          <w:sz w:val="24"/>
        </w:rPr>
        <w:t>29</w:t>
      </w:r>
      <w:r>
        <w:rPr>
          <w:rFonts w:ascii="Times New Roman" w:hAnsi="Times New Roman" w:eastAsia="Times New Roman"/>
          <w:b w:val="0"/>
          <w:i w:val="0"/>
          <w:sz w:val="24"/>
        </w:rPr>
        <w:t>(1), 5–68. https://doi.org/10.1093/rfs/hhv059</w:t>
      </w:r>
    </w:p>
    <w:p>
      <w:pPr>
        <w:spacing w:after="80" w:before="40" w:line="312" w:lineRule="auto"/>
        <w:ind w:hanging="720" w:left="720"/>
        <w:jc w:val="both"/>
      </w:pPr>
      <w:r>
        <w:rPr>
          <w:rFonts w:ascii="Times New Roman" w:hAnsi="Times New Roman" w:eastAsia="Times New Roman"/>
          <w:b w:val="0"/>
          <w:i w:val="0"/>
          <w:sz w:val="24"/>
        </w:rPr>
        <w:t xml:space="preserve">HOSE. (n.d.). </w:t>
      </w:r>
      <w:r>
        <w:rPr>
          <w:rFonts w:ascii="Times New Roman" w:hAnsi="Times New Roman" w:eastAsia="Times New Roman"/>
          <w:b w:val="0"/>
          <w:i/>
          <w:sz w:val="24"/>
        </w:rPr>
        <w:t>Quy chế giao dịch chứng khoán tại Sở Giao dịch Chứng khoán Thành phố Hồ Chí Minh</w:t>
      </w:r>
      <w:r>
        <w:rPr>
          <w:rFonts w:ascii="Times New Roman" w:hAnsi="Times New Roman" w:eastAsia="Times New Roman"/>
          <w:b w:val="0"/>
          <w:i w:val="0"/>
          <w:sz w:val="24"/>
        </w:rPr>
        <w:t>. Retrieved February 22, 2026, from https://www.hsx.vn</w:t>
      </w:r>
    </w:p>
    <w:p>
      <w:pPr>
        <w:spacing w:after="80" w:before="40" w:line="312" w:lineRule="auto"/>
        <w:ind w:hanging="720" w:left="720"/>
        <w:jc w:val="both"/>
      </w:pPr>
      <w:r>
        <w:rPr>
          <w:rFonts w:ascii="Times New Roman" w:hAnsi="Times New Roman" w:eastAsia="Times New Roman"/>
          <w:b w:val="0"/>
          <w:i w:val="0"/>
          <w:sz w:val="24"/>
        </w:rPr>
        <w:t xml:space="preserve">IMARC Group. (2024). </w:t>
      </w:r>
      <w:r>
        <w:rPr>
          <w:rFonts w:ascii="Times New Roman" w:hAnsi="Times New Roman" w:eastAsia="Times New Roman"/>
          <w:b w:val="0"/>
          <w:i/>
          <w:sz w:val="24"/>
        </w:rPr>
        <w:t>Vietnam fintech market size, share, growth, forecast 2025–2033</w:t>
      </w:r>
      <w:r>
        <w:rPr>
          <w:rFonts w:ascii="Times New Roman" w:hAnsi="Times New Roman" w:eastAsia="Times New Roman"/>
          <w:b w:val="0"/>
          <w:i w:val="0"/>
          <w:sz w:val="24"/>
        </w:rPr>
        <w:t>. IMARC Group. https://www.imarcgroup.com/vietnam-fintech-market</w:t>
      </w:r>
    </w:p>
    <w:p>
      <w:pPr>
        <w:spacing w:after="80" w:before="40" w:line="312" w:lineRule="auto"/>
        <w:ind w:hanging="720" w:left="720"/>
        <w:jc w:val="both"/>
      </w:pPr>
      <w:r>
        <w:rPr>
          <w:rFonts w:ascii="Times New Roman" w:hAnsi="Times New Roman" w:eastAsia="Times New Roman"/>
          <w:b w:val="0"/>
          <w:i w:val="0"/>
          <w:sz w:val="24"/>
        </w:rPr>
        <w:t xml:space="preserve">Jegadeesh, N., &amp; Titman, S. (1993). Returns to buying winners and selling losers: Implications for stock market efficiency. </w:t>
      </w:r>
      <w:r>
        <w:rPr>
          <w:rFonts w:ascii="Times New Roman" w:hAnsi="Times New Roman" w:eastAsia="Times New Roman"/>
          <w:b w:val="0"/>
          <w:i/>
          <w:sz w:val="24"/>
        </w:rPr>
        <w:t>The Journal of Finance</w:t>
      </w:r>
      <w:r>
        <w:rPr>
          <w:rFonts w:ascii="Times New Roman" w:hAnsi="Times New Roman" w:eastAsia="Times New Roman"/>
          <w:b w:val="0"/>
          <w:i w:val="0"/>
          <w:sz w:val="24"/>
        </w:rPr>
        <w:t xml:space="preserve">, </w:t>
      </w:r>
      <w:r>
        <w:rPr>
          <w:rFonts w:ascii="Times New Roman" w:hAnsi="Times New Roman" w:eastAsia="Times New Roman"/>
          <w:b w:val="0"/>
          <w:i/>
          <w:sz w:val="24"/>
        </w:rPr>
        <w:t>48</w:t>
      </w:r>
      <w:r>
        <w:rPr>
          <w:rFonts w:ascii="Times New Roman" w:hAnsi="Times New Roman" w:eastAsia="Times New Roman"/>
          <w:b w:val="0"/>
          <w:i w:val="0"/>
          <w:sz w:val="24"/>
        </w:rPr>
        <w:t>(1), 65–91. https://doi.org/10.1111/j.1540-6261.1993.tb04702.x</w:t>
      </w:r>
    </w:p>
    <w:p>
      <w:pPr>
        <w:spacing w:after="80" w:before="40" w:line="312" w:lineRule="auto"/>
        <w:ind w:hanging="720" w:left="720"/>
        <w:jc w:val="both"/>
      </w:pPr>
      <w:r>
        <w:rPr>
          <w:rFonts w:ascii="Times New Roman" w:hAnsi="Times New Roman" w:eastAsia="Times New Roman"/>
          <w:b w:val="0"/>
          <w:i w:val="0"/>
          <w:sz w:val="24"/>
        </w:rPr>
        <w:t xml:space="preserve">Lewis, P., Perez, E., Piktus, A., Petroni, F., Karpukhin, V., Goyal, N., Küttler, H., Lewis, M., Yih, W., Rocktäschel, T., Riedel, S., &amp; Kiela, D. (2020). Retrieval-augmented generation for knowledge-intensive NLP tasks. In </w:t>
      </w:r>
      <w:r>
        <w:rPr>
          <w:rFonts w:ascii="Times New Roman" w:hAnsi="Times New Roman" w:eastAsia="Times New Roman"/>
          <w:b w:val="0"/>
          <w:i/>
          <w:sz w:val="24"/>
        </w:rPr>
        <w:t>Advances in Neural Information Processing Systems</w:t>
      </w:r>
      <w:r>
        <w:rPr>
          <w:rFonts w:ascii="Times New Roman" w:hAnsi="Times New Roman" w:eastAsia="Times New Roman"/>
          <w:b w:val="0"/>
          <w:i w:val="0"/>
          <w:sz w:val="24"/>
        </w:rPr>
        <w:t xml:space="preserve"> (Vol. 33, pp. 9459–9474). Curran Associates. https://doi.org/10.48550/arXiv.2005.11401</w:t>
      </w:r>
    </w:p>
    <w:p>
      <w:pPr>
        <w:spacing w:after="80" w:before="40" w:line="312" w:lineRule="auto"/>
        <w:ind w:hanging="720" w:left="720"/>
        <w:jc w:val="both"/>
      </w:pPr>
      <w:r>
        <w:rPr>
          <w:rFonts w:ascii="Times New Roman" w:hAnsi="Times New Roman" w:eastAsia="Times New Roman"/>
          <w:b w:val="0"/>
          <w:i w:val="0"/>
          <w:sz w:val="24"/>
        </w:rPr>
        <w:t xml:space="preserve">Lin, S., Hilton, J., &amp; Evans, O. (2022). TruthfulQA: Measuring how models mimic human falsehoods. In </w:t>
      </w:r>
      <w:r>
        <w:rPr>
          <w:rFonts w:ascii="Times New Roman" w:hAnsi="Times New Roman" w:eastAsia="Times New Roman"/>
          <w:b w:val="0"/>
          <w:i/>
          <w:sz w:val="24"/>
        </w:rPr>
        <w:t>Proceedings of the 60th Annual Meeting of the Association for Computational Linguistics</w:t>
      </w:r>
      <w:r>
        <w:rPr>
          <w:rFonts w:ascii="Times New Roman" w:hAnsi="Times New Roman" w:eastAsia="Times New Roman"/>
          <w:b w:val="0"/>
          <w:i w:val="0"/>
          <w:sz w:val="24"/>
        </w:rPr>
        <w:t xml:space="preserve"> (pp. 3214–3252). Association for Computational Linguistics. https://doi.org/10.18653/v1/2022.acl-long.229</w:t>
      </w:r>
    </w:p>
    <w:p>
      <w:pPr>
        <w:spacing w:after="80" w:before="40" w:line="312" w:lineRule="auto"/>
        <w:ind w:hanging="720" w:left="720"/>
        <w:jc w:val="both"/>
      </w:pPr>
      <w:r>
        <w:rPr>
          <w:rFonts w:ascii="Times New Roman" w:hAnsi="Times New Roman" w:eastAsia="Times New Roman"/>
          <w:b w:val="0"/>
          <w:i w:val="0"/>
          <w:sz w:val="24"/>
        </w:rPr>
        <w:t xml:space="preserve">Lintner, J. (1965). The valuation of risk assets and the selection of risky investments in stock portfolios and capital budgets. </w:t>
      </w:r>
      <w:r>
        <w:rPr>
          <w:rFonts w:ascii="Times New Roman" w:hAnsi="Times New Roman" w:eastAsia="Times New Roman"/>
          <w:b w:val="0"/>
          <w:i/>
          <w:sz w:val="24"/>
        </w:rPr>
        <w:t>The Review of Economics and Statistics</w:t>
      </w:r>
      <w:r>
        <w:rPr>
          <w:rFonts w:ascii="Times New Roman" w:hAnsi="Times New Roman" w:eastAsia="Times New Roman"/>
          <w:b w:val="0"/>
          <w:i w:val="0"/>
          <w:sz w:val="24"/>
        </w:rPr>
        <w:t xml:space="preserve">, </w:t>
      </w:r>
      <w:r>
        <w:rPr>
          <w:rFonts w:ascii="Times New Roman" w:hAnsi="Times New Roman" w:eastAsia="Times New Roman"/>
          <w:b w:val="0"/>
          <w:i/>
          <w:sz w:val="24"/>
        </w:rPr>
        <w:t>47</w:t>
      </w:r>
      <w:r>
        <w:rPr>
          <w:rFonts w:ascii="Times New Roman" w:hAnsi="Times New Roman" w:eastAsia="Times New Roman"/>
          <w:b w:val="0"/>
          <w:i w:val="0"/>
          <w:sz w:val="24"/>
        </w:rPr>
        <w:t>(1), 13–37. https://doi.org/10.2307/1924119</w:t>
      </w:r>
    </w:p>
    <w:p>
      <w:pPr>
        <w:spacing w:after="80" w:before="40" w:line="312" w:lineRule="auto"/>
        <w:ind w:hanging="720" w:left="720"/>
        <w:jc w:val="both"/>
      </w:pPr>
      <w:r>
        <w:rPr>
          <w:rFonts w:ascii="Times New Roman" w:hAnsi="Times New Roman" w:eastAsia="Times New Roman"/>
          <w:b w:val="0"/>
          <w:i w:val="0"/>
          <w:sz w:val="24"/>
        </w:rPr>
        <w:t xml:space="preserve">Lo, A. W. (2002). The statistics of Sharpe ratios. </w:t>
      </w:r>
      <w:r>
        <w:rPr>
          <w:rFonts w:ascii="Times New Roman" w:hAnsi="Times New Roman" w:eastAsia="Times New Roman"/>
          <w:b w:val="0"/>
          <w:i/>
          <w:sz w:val="24"/>
        </w:rPr>
        <w:t>Financial Analysts Journal</w:t>
      </w:r>
      <w:r>
        <w:rPr>
          <w:rFonts w:ascii="Times New Roman" w:hAnsi="Times New Roman" w:eastAsia="Times New Roman"/>
          <w:b w:val="0"/>
          <w:i w:val="0"/>
          <w:sz w:val="24"/>
        </w:rPr>
        <w:t xml:space="preserve">, </w:t>
      </w:r>
      <w:r>
        <w:rPr>
          <w:rFonts w:ascii="Times New Roman" w:hAnsi="Times New Roman" w:eastAsia="Times New Roman"/>
          <w:b w:val="0"/>
          <w:i/>
          <w:sz w:val="24"/>
        </w:rPr>
        <w:t>58</w:t>
      </w:r>
      <w:r>
        <w:rPr>
          <w:rFonts w:ascii="Times New Roman" w:hAnsi="Times New Roman" w:eastAsia="Times New Roman"/>
          <w:b w:val="0"/>
          <w:i w:val="0"/>
          <w:sz w:val="24"/>
        </w:rPr>
        <w:t>(4), 36–52. https://doi.org/10.2469/faj.v58.n4.2453</w:t>
      </w:r>
    </w:p>
    <w:p>
      <w:pPr>
        <w:spacing w:after="80" w:before="40" w:line="312" w:lineRule="auto"/>
        <w:ind w:hanging="720" w:left="720"/>
        <w:jc w:val="both"/>
      </w:pPr>
      <w:r>
        <w:rPr>
          <w:rFonts w:ascii="Times New Roman" w:hAnsi="Times New Roman" w:eastAsia="Times New Roman"/>
          <w:b w:val="0"/>
          <w:i w:val="0"/>
          <w:sz w:val="24"/>
        </w:rPr>
        <w:t xml:space="preserve">Maillard, S., Roncalli, T., &amp; Teïletche, J. (2010). The properties of equally weighted risk contribution portfolios. </w:t>
      </w:r>
      <w:r>
        <w:rPr>
          <w:rFonts w:ascii="Times New Roman" w:hAnsi="Times New Roman" w:eastAsia="Times New Roman"/>
          <w:b w:val="0"/>
          <w:i/>
          <w:sz w:val="24"/>
        </w:rPr>
        <w:t>The Journal of Portfolio Management</w:t>
      </w:r>
      <w:r>
        <w:rPr>
          <w:rFonts w:ascii="Times New Roman" w:hAnsi="Times New Roman" w:eastAsia="Times New Roman"/>
          <w:b w:val="0"/>
          <w:i w:val="0"/>
          <w:sz w:val="24"/>
        </w:rPr>
        <w:t xml:space="preserve">, </w:t>
      </w:r>
      <w:r>
        <w:rPr>
          <w:rFonts w:ascii="Times New Roman" w:hAnsi="Times New Roman" w:eastAsia="Times New Roman"/>
          <w:b w:val="0"/>
          <w:i/>
          <w:sz w:val="24"/>
        </w:rPr>
        <w:t>36</w:t>
      </w:r>
      <w:r>
        <w:rPr>
          <w:rFonts w:ascii="Times New Roman" w:hAnsi="Times New Roman" w:eastAsia="Times New Roman"/>
          <w:b w:val="0"/>
          <w:i w:val="0"/>
          <w:sz w:val="24"/>
        </w:rPr>
        <w:t>(4), 60–70. https://doi.org/10.3905/jpm.2010.36.4.060</w:t>
      </w:r>
    </w:p>
    <w:p>
      <w:pPr>
        <w:spacing w:after="80" w:before="40" w:line="312" w:lineRule="auto"/>
        <w:ind w:hanging="720" w:left="720"/>
        <w:jc w:val="both"/>
      </w:pPr>
      <w:r>
        <w:rPr>
          <w:rFonts w:ascii="Times New Roman" w:hAnsi="Times New Roman" w:eastAsia="Times New Roman"/>
          <w:b w:val="0"/>
          <w:i w:val="0"/>
          <w:sz w:val="24"/>
        </w:rPr>
        <w:t xml:space="preserve">Markowitz, H. (1952). Portfolio selection. </w:t>
      </w:r>
      <w:r>
        <w:rPr>
          <w:rFonts w:ascii="Times New Roman" w:hAnsi="Times New Roman" w:eastAsia="Times New Roman"/>
          <w:b w:val="0"/>
          <w:i/>
          <w:sz w:val="24"/>
        </w:rPr>
        <w:t>The Journal of Finance</w:t>
      </w:r>
      <w:r>
        <w:rPr>
          <w:rFonts w:ascii="Times New Roman" w:hAnsi="Times New Roman" w:eastAsia="Times New Roman"/>
          <w:b w:val="0"/>
          <w:i w:val="0"/>
          <w:sz w:val="24"/>
        </w:rPr>
        <w:t xml:space="preserve">, </w:t>
      </w:r>
      <w:r>
        <w:rPr>
          <w:rFonts w:ascii="Times New Roman" w:hAnsi="Times New Roman" w:eastAsia="Times New Roman"/>
          <w:b w:val="0"/>
          <w:i/>
          <w:sz w:val="24"/>
        </w:rPr>
        <w:t>7</w:t>
      </w:r>
      <w:r>
        <w:rPr>
          <w:rFonts w:ascii="Times New Roman" w:hAnsi="Times New Roman" w:eastAsia="Times New Roman"/>
          <w:b w:val="0"/>
          <w:i w:val="0"/>
          <w:sz w:val="24"/>
        </w:rPr>
        <w:t>(1), 77–91. https://doi.org/10.2307/2975974</w:t>
      </w:r>
    </w:p>
    <w:p>
      <w:pPr>
        <w:spacing w:after="80" w:before="40" w:line="312" w:lineRule="auto"/>
        <w:ind w:hanging="720" w:left="720"/>
        <w:jc w:val="both"/>
      </w:pPr>
      <w:r>
        <w:rPr>
          <w:rFonts w:ascii="Times New Roman" w:hAnsi="Times New Roman" w:eastAsia="Times New Roman"/>
          <w:b w:val="0"/>
          <w:i w:val="0"/>
          <w:sz w:val="24"/>
        </w:rPr>
        <w:t xml:space="preserve">Min, S., Krishna, K., Lyu, X., Lewis, M., Yih, W., Koh, P. W., Iyyer, M., Zettlemoyer, L., &amp; Hajishirzi, H. (2023). FActScore: Fine-grained atomic evaluation of factual precision in long form text generation. In </w:t>
      </w:r>
      <w:r>
        <w:rPr>
          <w:rFonts w:ascii="Times New Roman" w:hAnsi="Times New Roman" w:eastAsia="Times New Roman"/>
          <w:b w:val="0"/>
          <w:i/>
          <w:sz w:val="24"/>
        </w:rPr>
        <w:t>Proceedings of the 2023 Conference on Empirical Methods in Natural Language Processing</w:t>
      </w:r>
      <w:r>
        <w:rPr>
          <w:rFonts w:ascii="Times New Roman" w:hAnsi="Times New Roman" w:eastAsia="Times New Roman"/>
          <w:b w:val="0"/>
          <w:i w:val="0"/>
          <w:sz w:val="24"/>
        </w:rPr>
        <w:t xml:space="preserve"> (pp. 12076–12100). Association for Computational Linguistics. https://doi.org/10.18653/v1/2023.emnlp-main.741</w:t>
      </w:r>
    </w:p>
    <w:p>
      <w:pPr>
        <w:spacing w:after="80" w:before="40" w:line="312" w:lineRule="auto"/>
        <w:ind w:hanging="720" w:left="720"/>
        <w:jc w:val="both"/>
      </w:pPr>
      <w:r>
        <w:rPr>
          <w:rFonts w:ascii="Times New Roman" w:hAnsi="Times New Roman" w:eastAsia="Times New Roman"/>
          <w:b w:val="0"/>
          <w:i w:val="0"/>
          <w:sz w:val="24"/>
        </w:rPr>
        <w:t xml:space="preserve">Miquant. (n.d.). </w:t>
      </w:r>
      <w:r>
        <w:rPr>
          <w:rFonts w:ascii="Times New Roman" w:hAnsi="Times New Roman" w:eastAsia="Times New Roman"/>
          <w:b w:val="0"/>
          <w:i/>
          <w:sz w:val="24"/>
        </w:rPr>
        <w:t>Nền tảng đầu tư định lượng AI</w:t>
      </w:r>
      <w:r>
        <w:rPr>
          <w:rFonts w:ascii="Times New Roman" w:hAnsi="Times New Roman" w:eastAsia="Times New Roman"/>
          <w:b w:val="0"/>
          <w:i w:val="0"/>
          <w:sz w:val="24"/>
        </w:rPr>
        <w:t>. Retrieved February 22, 2026, from https://miquant.vn</w:t>
      </w:r>
    </w:p>
    <w:p>
      <w:pPr>
        <w:spacing w:after="80" w:before="40" w:line="312" w:lineRule="auto"/>
        <w:ind w:hanging="720" w:left="720"/>
        <w:jc w:val="both"/>
      </w:pPr>
      <w:r>
        <w:rPr>
          <w:rFonts w:ascii="Times New Roman" w:hAnsi="Times New Roman" w:eastAsia="Times New Roman"/>
          <w:b w:val="0"/>
          <w:i w:val="0"/>
          <w:sz w:val="24"/>
        </w:rPr>
        <w:t xml:space="preserve">Murphy, J. J. (1999). </w:t>
      </w:r>
      <w:r>
        <w:rPr>
          <w:rFonts w:ascii="Times New Roman" w:hAnsi="Times New Roman" w:eastAsia="Times New Roman"/>
          <w:b w:val="0"/>
          <w:i/>
          <w:sz w:val="24"/>
        </w:rPr>
        <w:t>Technical analysis of the financial markets: A comprehensive guide to trading methods and applications</w:t>
      </w:r>
      <w:r>
        <w:rPr>
          <w:rFonts w:ascii="Times New Roman" w:hAnsi="Times New Roman" w:eastAsia="Times New Roman"/>
          <w:b w:val="0"/>
          <w:i w:val="0"/>
          <w:sz w:val="24"/>
        </w:rPr>
        <w:t>. New York Institute of Finance.</w:t>
      </w:r>
    </w:p>
    <w:p>
      <w:pPr>
        <w:spacing w:after="80" w:before="40" w:line="312" w:lineRule="auto"/>
        <w:ind w:hanging="720" w:left="720"/>
        <w:jc w:val="both"/>
      </w:pPr>
      <w:r>
        <w:rPr>
          <w:rFonts w:ascii="Times New Roman" w:hAnsi="Times New Roman" w:eastAsia="Times New Roman"/>
          <w:b w:val="0"/>
          <w:i w:val="0"/>
          <w:sz w:val="24"/>
        </w:rPr>
        <w:t xml:space="preserve">Rajpurkar, P., Jia, R., &amp; Liang, P. (2018). Know what you don't know: Unanswerable questions for SQuAD. In </w:t>
      </w:r>
      <w:r>
        <w:rPr>
          <w:rFonts w:ascii="Times New Roman" w:hAnsi="Times New Roman" w:eastAsia="Times New Roman"/>
          <w:b w:val="0"/>
          <w:i/>
          <w:sz w:val="24"/>
        </w:rPr>
        <w:t>Proceedings of the 56th Annual Meeting of the Association for Computational Linguistics</w:t>
      </w:r>
      <w:r>
        <w:rPr>
          <w:rFonts w:ascii="Times New Roman" w:hAnsi="Times New Roman" w:eastAsia="Times New Roman"/>
          <w:b w:val="0"/>
          <w:i w:val="0"/>
          <w:sz w:val="24"/>
        </w:rPr>
        <w:t xml:space="preserve"> (pp. 784–789). Association for Computational Linguistics. https://doi.org/10.18653/v1/P18-2124</w:t>
      </w:r>
    </w:p>
    <w:p>
      <w:pPr>
        <w:spacing w:after="80" w:before="40" w:line="312" w:lineRule="auto"/>
        <w:ind w:hanging="720" w:left="720"/>
        <w:jc w:val="both"/>
      </w:pPr>
      <w:r>
        <w:rPr>
          <w:rFonts w:ascii="Times New Roman" w:hAnsi="Times New Roman" w:eastAsia="Times New Roman"/>
          <w:b w:val="0"/>
          <w:i w:val="0"/>
          <w:sz w:val="24"/>
        </w:rPr>
        <w:t xml:space="preserve">Rockafellar, R. T., &amp; Uryasev, S. (2000). Optimization of conditional value-at-risk. </w:t>
      </w:r>
      <w:r>
        <w:rPr>
          <w:rFonts w:ascii="Times New Roman" w:hAnsi="Times New Roman" w:eastAsia="Times New Roman"/>
          <w:b w:val="0"/>
          <w:i/>
          <w:sz w:val="24"/>
        </w:rPr>
        <w:t>Journal of Risk</w:t>
      </w:r>
      <w:r>
        <w:rPr>
          <w:rFonts w:ascii="Times New Roman" w:hAnsi="Times New Roman" w:eastAsia="Times New Roman"/>
          <w:b w:val="0"/>
          <w:i w:val="0"/>
          <w:sz w:val="24"/>
        </w:rPr>
        <w:t xml:space="preserve">, </w:t>
      </w:r>
      <w:r>
        <w:rPr>
          <w:rFonts w:ascii="Times New Roman" w:hAnsi="Times New Roman" w:eastAsia="Times New Roman"/>
          <w:b w:val="0"/>
          <w:i/>
          <w:sz w:val="24"/>
        </w:rPr>
        <w:t>2</w:t>
      </w:r>
      <w:r>
        <w:rPr>
          <w:rFonts w:ascii="Times New Roman" w:hAnsi="Times New Roman" w:eastAsia="Times New Roman"/>
          <w:b w:val="0"/>
          <w:i w:val="0"/>
          <w:sz w:val="24"/>
        </w:rPr>
        <w:t>(3), 21–42. https://doi.org/10.21314/JOR.2000.038</w:t>
      </w:r>
    </w:p>
    <w:p>
      <w:pPr>
        <w:spacing w:after="80" w:before="40" w:line="312" w:lineRule="auto"/>
        <w:ind w:hanging="720" w:left="720"/>
        <w:jc w:val="both"/>
      </w:pPr>
      <w:r>
        <w:rPr>
          <w:rFonts w:ascii="Times New Roman" w:hAnsi="Times New Roman" w:eastAsia="Times New Roman"/>
          <w:b w:val="0"/>
          <w:i w:val="0"/>
          <w:sz w:val="24"/>
        </w:rPr>
        <w:t xml:space="preserve">Sharpe, W. F. (1964). Capital asset prices: A theory of market equilibrium under conditions of risk. </w:t>
      </w:r>
      <w:r>
        <w:rPr>
          <w:rFonts w:ascii="Times New Roman" w:hAnsi="Times New Roman" w:eastAsia="Times New Roman"/>
          <w:b w:val="0"/>
          <w:i/>
          <w:sz w:val="24"/>
        </w:rPr>
        <w:t>The Journal of Finance</w:t>
      </w:r>
      <w:r>
        <w:rPr>
          <w:rFonts w:ascii="Times New Roman" w:hAnsi="Times New Roman" w:eastAsia="Times New Roman"/>
          <w:b w:val="0"/>
          <w:i w:val="0"/>
          <w:sz w:val="24"/>
        </w:rPr>
        <w:t xml:space="preserve">, </w:t>
      </w:r>
      <w:r>
        <w:rPr>
          <w:rFonts w:ascii="Times New Roman" w:hAnsi="Times New Roman" w:eastAsia="Times New Roman"/>
          <w:b w:val="0"/>
          <w:i/>
          <w:sz w:val="24"/>
        </w:rPr>
        <w:t>19</w:t>
      </w:r>
      <w:r>
        <w:rPr>
          <w:rFonts w:ascii="Times New Roman" w:hAnsi="Times New Roman" w:eastAsia="Times New Roman"/>
          <w:b w:val="0"/>
          <w:i w:val="0"/>
          <w:sz w:val="24"/>
        </w:rPr>
        <w:t>(3), 425–442. https://doi.org/10.1111/j.1540-6261.1964.tb02865.x</w:t>
      </w:r>
    </w:p>
    <w:p>
      <w:pPr>
        <w:spacing w:after="80" w:before="40" w:line="312" w:lineRule="auto"/>
        <w:ind w:hanging="720" w:left="720"/>
        <w:jc w:val="both"/>
      </w:pPr>
      <w:r>
        <w:rPr>
          <w:rFonts w:ascii="Times New Roman" w:hAnsi="Times New Roman" w:eastAsia="Times New Roman"/>
          <w:b w:val="0"/>
          <w:i w:val="0"/>
          <w:sz w:val="24"/>
        </w:rPr>
        <w:t xml:space="preserve">SSI. (n.d.). </w:t>
      </w:r>
      <w:r>
        <w:rPr>
          <w:rFonts w:ascii="Times New Roman" w:hAnsi="Times New Roman" w:eastAsia="Times New Roman"/>
          <w:b w:val="0"/>
          <w:i/>
          <w:sz w:val="24"/>
        </w:rPr>
        <w:t>SSI iBoard — Nền tảng giao dịch chứng khoán</w:t>
      </w:r>
      <w:r>
        <w:rPr>
          <w:rFonts w:ascii="Times New Roman" w:hAnsi="Times New Roman" w:eastAsia="Times New Roman"/>
          <w:b w:val="0"/>
          <w:i w:val="0"/>
          <w:sz w:val="24"/>
        </w:rPr>
        <w:t>. Retrieved February 22, 2026, from https://iboard.ssi.com.vn</w:t>
      </w:r>
    </w:p>
    <w:p>
      <w:pPr>
        <w:spacing w:after="80" w:before="40" w:line="312" w:lineRule="auto"/>
        <w:ind w:hanging="720" w:left="720"/>
        <w:jc w:val="both"/>
      </w:pPr>
      <w:r>
        <w:rPr>
          <w:rFonts w:ascii="Times New Roman" w:hAnsi="Times New Roman" w:eastAsia="Times New Roman"/>
          <w:b w:val="0"/>
          <w:i w:val="0"/>
          <w:sz w:val="24"/>
        </w:rPr>
        <w:t xml:space="preserve">TCBS. (n.d.). </w:t>
      </w:r>
      <w:r>
        <w:rPr>
          <w:rFonts w:ascii="Times New Roman" w:hAnsi="Times New Roman" w:eastAsia="Times New Roman"/>
          <w:b w:val="0"/>
          <w:i/>
          <w:sz w:val="24"/>
        </w:rPr>
        <w:t>Tổng Công ty Cổ phần Chứng khoán Kỹ thương</w:t>
      </w:r>
      <w:r>
        <w:rPr>
          <w:rFonts w:ascii="Times New Roman" w:hAnsi="Times New Roman" w:eastAsia="Times New Roman"/>
          <w:b w:val="0"/>
          <w:i w:val="0"/>
          <w:sz w:val="24"/>
        </w:rPr>
        <w:t>. Retrieved February 22, 2026, from https://www.tcbs.com.vn</w:t>
      </w:r>
    </w:p>
    <w:p>
      <w:pPr>
        <w:spacing w:after="80" w:before="40" w:line="312" w:lineRule="auto"/>
        <w:ind w:hanging="720" w:left="720"/>
        <w:jc w:val="both"/>
      </w:pPr>
      <w:r>
        <w:rPr>
          <w:rFonts w:ascii="Times New Roman" w:hAnsi="Times New Roman" w:eastAsia="Times New Roman"/>
          <w:b w:val="0"/>
          <w:i w:val="0"/>
          <w:sz w:val="24"/>
        </w:rPr>
        <w:t xml:space="preserve">The Investor. (2024, March 15). Vietnamese listed firms' transparency remains a concern. </w:t>
      </w:r>
      <w:r>
        <w:rPr>
          <w:rFonts w:ascii="Times New Roman" w:hAnsi="Times New Roman" w:eastAsia="Times New Roman"/>
          <w:b w:val="0"/>
          <w:i/>
          <w:sz w:val="24"/>
        </w:rPr>
        <w:t>The Investor</w:t>
      </w:r>
      <w:r>
        <w:rPr>
          <w:rFonts w:ascii="Times New Roman" w:hAnsi="Times New Roman" w:eastAsia="Times New Roman"/>
          <w:b w:val="0"/>
          <w:i w:val="0"/>
          <w:sz w:val="24"/>
        </w:rPr>
        <w:t>. https://theinvestor.vn/vietnamese-listed-firms-transparency-remains-a-concern-d9085.html</w:t>
      </w:r>
    </w:p>
    <w:p>
      <w:pPr>
        <w:spacing w:after="80" w:before="40" w:line="312" w:lineRule="auto"/>
        <w:ind w:hanging="720" w:left="720"/>
        <w:jc w:val="both"/>
      </w:pPr>
      <w:r>
        <w:rPr>
          <w:rFonts w:ascii="Times New Roman" w:hAnsi="Times New Roman" w:eastAsia="Times New Roman"/>
          <w:b w:val="0"/>
          <w:i w:val="0"/>
          <w:sz w:val="24"/>
        </w:rPr>
        <w:t xml:space="preserve">Thinh Vu. (2023). </w:t>
      </w:r>
      <w:r>
        <w:rPr>
          <w:rFonts w:ascii="Times New Roman" w:hAnsi="Times New Roman" w:eastAsia="Times New Roman"/>
          <w:b w:val="0"/>
          <w:i/>
          <w:sz w:val="24"/>
        </w:rPr>
        <w:t>vnstock: Vietnamese stock market data for Python</w:t>
      </w:r>
      <w:r>
        <w:rPr>
          <w:rFonts w:ascii="Times New Roman" w:hAnsi="Times New Roman" w:eastAsia="Times New Roman"/>
          <w:b w:val="0"/>
          <w:i w:val="0"/>
          <w:sz w:val="24"/>
        </w:rPr>
        <w:t xml:space="preserve"> [Computer software]. https://github.com/thinh-vu/vnstock</w:t>
      </w:r>
    </w:p>
    <w:p>
      <w:pPr>
        <w:spacing w:after="80" w:before="40" w:line="312" w:lineRule="auto"/>
        <w:ind w:hanging="720" w:left="720"/>
        <w:jc w:val="both"/>
      </w:pPr>
      <w:r>
        <w:rPr>
          <w:rFonts w:ascii="Times New Roman" w:hAnsi="Times New Roman" w:eastAsia="Times New Roman"/>
          <w:b w:val="0"/>
          <w:i w:val="0"/>
          <w:sz w:val="24"/>
        </w:rPr>
        <w:t xml:space="preserve">TradingView. (n.d.). </w:t>
      </w:r>
      <w:r>
        <w:rPr>
          <w:rFonts w:ascii="Times New Roman" w:hAnsi="Times New Roman" w:eastAsia="Times New Roman"/>
          <w:b w:val="0"/>
          <w:i/>
          <w:sz w:val="24"/>
        </w:rPr>
        <w:t>TradingView — Track all markets</w:t>
      </w:r>
      <w:r>
        <w:rPr>
          <w:rFonts w:ascii="Times New Roman" w:hAnsi="Times New Roman" w:eastAsia="Times New Roman"/>
          <w:b w:val="0"/>
          <w:i w:val="0"/>
          <w:sz w:val="24"/>
        </w:rPr>
        <w:t>. Retrieved February 22, 2026, from https://www.tradingview.com</w:t>
      </w:r>
    </w:p>
    <w:p>
      <w:pPr>
        <w:spacing w:after="80" w:before="40" w:line="312" w:lineRule="auto"/>
        <w:ind w:hanging="720" w:left="720"/>
        <w:jc w:val="both"/>
      </w:pPr>
      <w:r>
        <w:rPr>
          <w:rFonts w:ascii="Times New Roman" w:hAnsi="Times New Roman" w:eastAsia="Times New Roman"/>
          <w:b w:val="0"/>
          <w:i w:val="0"/>
          <w:sz w:val="24"/>
        </w:rPr>
        <w:t xml:space="preserve">Truong, D. L., Lanjouw, G., &amp; Lensink, R. (2010). Stock-market efficiency in thin-trading markets: The case of the Vietnamese stock market. </w:t>
      </w:r>
      <w:r>
        <w:rPr>
          <w:rFonts w:ascii="Times New Roman" w:hAnsi="Times New Roman" w:eastAsia="Times New Roman"/>
          <w:b w:val="0"/>
          <w:i/>
          <w:sz w:val="24"/>
        </w:rPr>
        <w:t>Applied Economics</w:t>
      </w:r>
      <w:r>
        <w:rPr>
          <w:rFonts w:ascii="Times New Roman" w:hAnsi="Times New Roman" w:eastAsia="Times New Roman"/>
          <w:b w:val="0"/>
          <w:i w:val="0"/>
          <w:sz w:val="24"/>
        </w:rPr>
        <w:t xml:space="preserve">, </w:t>
      </w:r>
      <w:r>
        <w:rPr>
          <w:rFonts w:ascii="Times New Roman" w:hAnsi="Times New Roman" w:eastAsia="Times New Roman"/>
          <w:b w:val="0"/>
          <w:i/>
          <w:sz w:val="24"/>
        </w:rPr>
        <w:t>42</w:t>
      </w:r>
      <w:r>
        <w:rPr>
          <w:rFonts w:ascii="Times New Roman" w:hAnsi="Times New Roman" w:eastAsia="Times New Roman"/>
          <w:b w:val="0"/>
          <w:i w:val="0"/>
          <w:sz w:val="24"/>
        </w:rPr>
        <w:t>(27), 3519–3532. https://doi.org/10.1080/00036840802167904</w:t>
      </w:r>
    </w:p>
    <w:p>
      <w:pPr>
        <w:spacing w:after="80" w:before="40" w:line="312" w:lineRule="auto"/>
        <w:ind w:hanging="720" w:left="720"/>
        <w:jc w:val="both"/>
      </w:pPr>
      <w:r>
        <w:rPr>
          <w:rFonts w:ascii="Times New Roman" w:hAnsi="Times New Roman" w:eastAsia="Times New Roman"/>
          <w:b w:val="0"/>
          <w:i w:val="0"/>
          <w:sz w:val="24"/>
        </w:rPr>
        <w:t xml:space="preserve">Vietnam Investment Review. (2024, June 10). Data quality challenges hinder Vietnam's banking analytics. </w:t>
      </w:r>
      <w:r>
        <w:rPr>
          <w:rFonts w:ascii="Times New Roman" w:hAnsi="Times New Roman" w:eastAsia="Times New Roman"/>
          <w:b w:val="0"/>
          <w:i/>
          <w:sz w:val="24"/>
        </w:rPr>
        <w:t>Vietnam Investment Review</w:t>
      </w:r>
      <w:r>
        <w:rPr>
          <w:rFonts w:ascii="Times New Roman" w:hAnsi="Times New Roman" w:eastAsia="Times New Roman"/>
          <w:b w:val="0"/>
          <w:i w:val="0"/>
          <w:sz w:val="24"/>
        </w:rPr>
        <w:t>. https://vir.com.vn/data-quality-challenges-hinder-vietnams-banking-analytics.html</w:t>
      </w:r>
    </w:p>
    <w:p>
      <w:pPr>
        <w:spacing w:after="80" w:before="40" w:line="312" w:lineRule="auto"/>
        <w:ind w:hanging="720" w:left="720"/>
        <w:jc w:val="both"/>
      </w:pPr>
      <w:r>
        <w:rPr>
          <w:rFonts w:ascii="Times New Roman" w:hAnsi="Times New Roman" w:eastAsia="Times New Roman"/>
          <w:b w:val="0"/>
          <w:i w:val="0"/>
          <w:sz w:val="24"/>
        </w:rPr>
        <w:t xml:space="preserve">Vietnam Securities Depository. (n.d.). </w:t>
      </w:r>
      <w:r>
        <w:rPr>
          <w:rFonts w:ascii="Times New Roman" w:hAnsi="Times New Roman" w:eastAsia="Times New Roman"/>
          <w:b w:val="0"/>
          <w:i/>
          <w:sz w:val="24"/>
        </w:rPr>
        <w:t>Quy trình thanh toán giao dịch chứng khoán</w:t>
      </w:r>
      <w:r>
        <w:rPr>
          <w:rFonts w:ascii="Times New Roman" w:hAnsi="Times New Roman" w:eastAsia="Times New Roman"/>
          <w:b w:val="0"/>
          <w:i w:val="0"/>
          <w:sz w:val="24"/>
        </w:rPr>
        <w:t>. Retrieved February 22, 2026, from https://www.vsd.vn</w:t>
      </w:r>
    </w:p>
    <w:p>
      <w:pPr>
        <w:spacing w:after="80" w:before="40" w:line="312" w:lineRule="auto"/>
        <w:ind w:hanging="720" w:left="720"/>
        <w:jc w:val="both"/>
      </w:pPr>
      <w:r>
        <w:rPr>
          <w:rFonts w:ascii="Times New Roman" w:hAnsi="Times New Roman" w:eastAsia="Times New Roman"/>
          <w:b w:val="0"/>
          <w:i w:val="0"/>
          <w:sz w:val="24"/>
        </w:rPr>
        <w:t xml:space="preserve">VNDirect. (n.d.). </w:t>
      </w:r>
      <w:r>
        <w:rPr>
          <w:rFonts w:ascii="Times New Roman" w:hAnsi="Times New Roman" w:eastAsia="Times New Roman"/>
          <w:b w:val="0"/>
          <w:i/>
          <w:sz w:val="24"/>
        </w:rPr>
        <w:t>VNDirect Securities Corporation</w:t>
      </w:r>
      <w:r>
        <w:rPr>
          <w:rFonts w:ascii="Times New Roman" w:hAnsi="Times New Roman" w:eastAsia="Times New Roman"/>
          <w:b w:val="0"/>
          <w:i w:val="0"/>
          <w:sz w:val="24"/>
        </w:rPr>
        <w:t>. Retrieved February 22, 2026, from https://www.vndirect.com.vn</w:t>
      </w:r>
    </w:p>
    <w:p>
      <w:pPr>
        <w:spacing w:after="80" w:before="40" w:line="312" w:lineRule="auto"/>
        <w:ind w:hanging="720" w:left="720"/>
        <w:jc w:val="both"/>
      </w:pPr>
      <w:r>
        <w:rPr>
          <w:rFonts w:ascii="Times New Roman" w:hAnsi="Times New Roman" w:eastAsia="Times New Roman"/>
          <w:b w:val="0"/>
          <w:i w:val="0"/>
          <w:sz w:val="24"/>
        </w:rPr>
        <w:t xml:space="preserve">Wu, S., Irsoy, O., Lu, S., Dabravolski, V., Dredze, M., Gehrmann, S., Kambadur, P., Rosenberg, D., &amp; Mann, G. (2023). BloombergGPT: A large language model for finance. </w:t>
      </w:r>
      <w:r>
        <w:rPr>
          <w:rFonts w:ascii="Times New Roman" w:hAnsi="Times New Roman" w:eastAsia="Times New Roman"/>
          <w:b w:val="0"/>
          <w:i/>
          <w:sz w:val="24"/>
        </w:rPr>
        <w:t>arXiv preprint arXiv:2303.17564</w:t>
      </w:r>
      <w:r>
        <w:rPr>
          <w:rFonts w:ascii="Times New Roman" w:hAnsi="Times New Roman" w:eastAsia="Times New Roman"/>
          <w:b w:val="0"/>
          <w:i w:val="0"/>
          <w:sz w:val="24"/>
        </w:rPr>
        <w:t>. https://doi.org/10.48550/arXiv.2303.17564</w:t>
      </w:r>
    </w:p>
    <w:p>
      <w:pPr>
        <w:spacing w:after="80" w:before="40" w:line="312" w:lineRule="auto"/>
        <w:ind w:hanging="720" w:left="720"/>
        <w:jc w:val="both"/>
      </w:pPr>
      <w:r>
        <w:rPr>
          <w:rFonts w:ascii="Times New Roman" w:hAnsi="Times New Roman" w:eastAsia="Times New Roman"/>
          <w:b w:val="0"/>
          <w:i w:val="0"/>
          <w:sz w:val="24"/>
        </w:rPr>
        <w:t xml:space="preserve">Yang, H., Liu, X.-Y., &amp; Wang, C. D. (2023). FinGPT: Open-source financial large language models. </w:t>
      </w:r>
      <w:r>
        <w:rPr>
          <w:rFonts w:ascii="Times New Roman" w:hAnsi="Times New Roman" w:eastAsia="Times New Roman"/>
          <w:b w:val="0"/>
          <w:i/>
          <w:sz w:val="24"/>
        </w:rPr>
        <w:t>arXiv preprint arXiv:2306.06031</w:t>
      </w:r>
      <w:r>
        <w:rPr>
          <w:rFonts w:ascii="Times New Roman" w:hAnsi="Times New Roman" w:eastAsia="Times New Roman"/>
          <w:b w:val="0"/>
          <w:i w:val="0"/>
          <w:sz w:val="24"/>
        </w:rPr>
        <w:t>. https://doi.org/10.48550/arXiv.2306.06031</w:t>
      </w:r>
    </w:p>
    <w:p>
      <w:r>
        <w:br w:type="page"/>
      </w:r>
    </w:p>
    <w:p>
      <w:pPr>
        <w:spacing w:before="360" w:after="120" w:line="360" w:lineRule="auto"/>
        <w:jc w:val="left"/>
        <w:outlineLvl w:val="0"/>
      </w:pPr>
      <w:r>
        <w:rPr>
          <w:rFonts w:ascii="Times New Roman" w:hAnsi="Times New Roman" w:eastAsia="Times New Roman"/>
          <w:b/>
          <w:i w:val="0"/>
          <w:color w:val="000000"/>
          <w:sz w:val="32"/>
        </w:rPr>
        <w:t>Appendix A: Research Hypothesis Evaluation</w:t>
      </w:r>
    </w:p>
    <w:p>
      <w:pPr>
        <w:spacing w:after="120" w:before="0" w:line="360" w:lineRule="auto"/>
        <w:ind w:firstLine="720"/>
        <w:jc w:val="both"/>
      </w:pPr>
      <w:r>
        <w:rPr>
          <w:rFonts w:ascii="Times New Roman" w:hAnsi="Times New Roman" w:eastAsia="Times New Roman"/>
          <w:b w:val="0"/>
          <w:i w:val="0"/>
          <w:sz w:val="26"/>
        </w:rPr>
        <w:t>This appendix evaluates the research hypotheses formulated in Chapter 2 against the evidence gathered from the platform development and demonstrated results.</w:t>
      </w:r>
    </w:p>
    <w:p>
      <w:pPr>
        <w:spacing w:before="240" w:after="120" w:line="360" w:lineRule="auto"/>
        <w:jc w:val="left"/>
        <w:outlineLvl w:val="1"/>
      </w:pPr>
      <w:r>
        <w:rPr>
          <w:rFonts w:ascii="Times New Roman" w:hAnsi="Times New Roman" w:eastAsia="Times New Roman"/>
          <w:b/>
          <w:i w:val="0"/>
          <w:color w:val="000000"/>
          <w:sz w:val="28"/>
        </w:rPr>
        <w:t>A.1 Hypothesis Summary</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c>
          <w:tcPr>
            <w:tcW w:type="dxa" w:w="2268"/>
            <w:shd w:fill="D9E2F3" w:val="clear"/>
          </w:tcPr>
          <w:p>
            <w:pPr>
              <w:jc w:val="center"/>
            </w:pPr>
            <w:r/>
            <w:r>
              <w:rPr>
                <w:rFonts w:ascii="Times New Roman" w:hAnsi="Times New Roman" w:eastAsia="Times New Roman"/>
                <w:b/>
                <w:i w:val="0"/>
                <w:sz w:val="22"/>
              </w:rPr>
              <w:t>#</w:t>
            </w:r>
          </w:p>
        </w:tc>
        <w:tc>
          <w:tcPr>
            <w:tcW w:type="dxa" w:w="2268"/>
            <w:shd w:fill="D9E2F3" w:val="clear"/>
          </w:tcPr>
          <w:p>
            <w:pPr>
              <w:jc w:val="center"/>
            </w:pPr>
            <w:r/>
            <w:r>
              <w:rPr>
                <w:rFonts w:ascii="Times New Roman" w:hAnsi="Times New Roman" w:eastAsia="Times New Roman"/>
                <w:b/>
                <w:i w:val="0"/>
                <w:sz w:val="22"/>
              </w:rPr>
              <w:t>Hypothesis</w:t>
            </w:r>
          </w:p>
        </w:tc>
        <w:tc>
          <w:tcPr>
            <w:tcW w:type="dxa" w:w="2268"/>
            <w:shd w:fill="D9E2F3" w:val="clear"/>
          </w:tcPr>
          <w:p>
            <w:pPr>
              <w:jc w:val="center"/>
            </w:pPr>
            <w:r/>
            <w:r>
              <w:rPr>
                <w:rFonts w:ascii="Times New Roman" w:hAnsi="Times New Roman" w:eastAsia="Times New Roman"/>
                <w:b/>
                <w:i w:val="0"/>
                <w:sz w:val="22"/>
              </w:rPr>
              <w:t>Status</w:t>
            </w:r>
          </w:p>
        </w:tc>
        <w:tc>
          <w:tcPr>
            <w:tcW w:type="dxa" w:w="2268"/>
            <w:shd w:fill="D9E2F3" w:val="clear"/>
          </w:tcPr>
          <w:p>
            <w:pPr>
              <w:jc w:val="center"/>
            </w:pPr>
            <w:r/>
            <w:r>
              <w:rPr>
                <w:rFonts w:ascii="Times New Roman" w:hAnsi="Times New Roman" w:eastAsia="Times New Roman"/>
                <w:b/>
                <w:i w:val="0"/>
                <w:sz w:val="22"/>
              </w:rPr>
              <w:t>Evidence</w:t>
            </w:r>
          </w:p>
        </w:tc>
      </w:tr>
      <w:tr>
        <w:tc>
          <w:tcPr>
            <w:tcW w:type="dxa" w:w="2268"/>
          </w:tcPr>
          <w:p>
            <w:pPr>
              <w:jc w:val="left"/>
            </w:pPr>
            <w:r/>
            <w:r>
              <w:rPr>
                <w:rFonts w:ascii="Times New Roman" w:hAnsi="Times New Roman" w:eastAsia="Times New Roman"/>
                <w:b w:val="0"/>
                <w:i w:val="0"/>
                <w:sz w:val="22"/>
              </w:rPr>
              <w:t>H1</w:t>
            </w:r>
          </w:p>
        </w:tc>
        <w:tc>
          <w:tcPr>
            <w:tcW w:type="dxa" w:w="2268"/>
          </w:tcPr>
          <w:p>
            <w:pPr>
              <w:jc w:val="left"/>
            </w:pPr>
            <w:r/>
            <w:r>
              <w:rPr>
                <w:rFonts w:ascii="Times New Roman" w:hAnsi="Times New Roman" w:eastAsia="Times New Roman"/>
                <w:b w:val="0"/>
                <w:i w:val="0"/>
                <w:sz w:val="22"/>
              </w:rPr>
              <w:t>A web-based platform can provide integrated quantitative analysis tools for HOSE equities accessible to retail investors without programming knowledge</w:t>
            </w:r>
          </w:p>
        </w:tc>
        <w:tc>
          <w:tcPr>
            <w:tcW w:type="dxa" w:w="2268"/>
          </w:tcPr>
          <w:p>
            <w:pPr>
              <w:jc w:val="left"/>
            </w:pPr>
            <w:r/>
            <w:r>
              <w:rPr>
                <w:rFonts w:ascii="Times New Roman" w:hAnsi="Times New Roman" w:eastAsia="Times New Roman"/>
                <w:b w:val="0"/>
                <w:i w:val="0"/>
                <w:sz w:val="22"/>
              </w:rPr>
              <w:t>Supported</w:t>
            </w:r>
          </w:p>
        </w:tc>
        <w:tc>
          <w:tcPr>
            <w:tcW w:type="dxa" w:w="2268"/>
          </w:tcPr>
          <w:p>
            <w:pPr>
              <w:jc w:val="left"/>
            </w:pPr>
            <w:r/>
            <w:r>
              <w:rPr>
                <w:rFonts w:ascii="Times New Roman" w:hAnsi="Times New Roman" w:eastAsia="Times New Roman"/>
                <w:b w:val="0"/>
                <w:i w:val="0"/>
                <w:sz w:val="22"/>
              </w:rPr>
              <w:t>Platform deployed with 8 functional modules covering screening, backtesting, portfolio optimisation, risk assessment, and AI assistant — all accessible via browser without installation</w:t>
            </w:r>
          </w:p>
        </w:tc>
      </w:tr>
      <w:tr>
        <w:tc>
          <w:tcPr>
            <w:tcW w:type="dxa" w:w="2268"/>
          </w:tcPr>
          <w:p>
            <w:pPr>
              <w:jc w:val="left"/>
            </w:pPr>
            <w:r/>
            <w:r>
              <w:rPr>
                <w:rFonts w:ascii="Times New Roman" w:hAnsi="Times New Roman" w:eastAsia="Times New Roman"/>
                <w:b w:val="0"/>
                <w:i w:val="0"/>
                <w:sz w:val="22"/>
              </w:rPr>
              <w:t>H2</w:t>
            </w:r>
          </w:p>
        </w:tc>
        <w:tc>
          <w:tcPr>
            <w:tcW w:type="dxa" w:w="2268"/>
          </w:tcPr>
          <w:p>
            <w:pPr>
              <w:jc w:val="left"/>
            </w:pPr>
            <w:r/>
            <w:r>
              <w:rPr>
                <w:rFonts w:ascii="Times New Roman" w:hAnsi="Times New Roman" w:eastAsia="Times New Roman"/>
                <w:b w:val="0"/>
                <w:i w:val="0"/>
                <w:sz w:val="22"/>
              </w:rPr>
              <w:t>Incorporating Vietnamese market-specific parameters (lot size, transaction costs, execution model) into backtesting improves the realism of simulated strategy performance</w:t>
            </w:r>
          </w:p>
        </w:tc>
        <w:tc>
          <w:tcPr>
            <w:tcW w:type="dxa" w:w="2268"/>
          </w:tcPr>
          <w:p>
            <w:pPr>
              <w:jc w:val="left"/>
            </w:pPr>
            <w:r/>
            <w:r>
              <w:rPr>
                <w:rFonts w:ascii="Times New Roman" w:hAnsi="Times New Roman" w:eastAsia="Times New Roman"/>
                <w:b w:val="0"/>
                <w:i w:val="0"/>
                <w:sz w:val="22"/>
              </w:rPr>
              <w:t>Supported</w:t>
            </w:r>
          </w:p>
        </w:tc>
        <w:tc>
          <w:tcPr>
            <w:tcW w:type="dxa" w:w="2268"/>
          </w:tcPr>
          <w:p>
            <w:pPr>
              <w:jc w:val="left"/>
            </w:pPr>
            <w:r/>
            <w:r>
              <w:rPr>
                <w:rFonts w:ascii="Times New Roman" w:hAnsi="Times New Roman" w:eastAsia="Times New Roman"/>
                <w:b w:val="0"/>
                <w:i w:val="0"/>
                <w:sz w:val="22"/>
              </w:rPr>
              <w:t>Backtesting engine integrates HOSE's 100-share lot size, 0.15% brokerage fee, 0.1% sell tax, and next-open execution — parameters absent from generic international tools</w:t>
            </w:r>
          </w:p>
        </w:tc>
      </w:tr>
      <w:tr>
        <w:tc>
          <w:tcPr>
            <w:tcW w:type="dxa" w:w="2268"/>
          </w:tcPr>
          <w:p>
            <w:pPr>
              <w:jc w:val="left"/>
            </w:pPr>
            <w:r/>
            <w:r>
              <w:rPr>
                <w:rFonts w:ascii="Times New Roman" w:hAnsi="Times New Roman" w:eastAsia="Times New Roman"/>
                <w:b w:val="0"/>
                <w:i w:val="0"/>
                <w:sz w:val="22"/>
              </w:rPr>
              <w:t>H3</w:t>
            </w:r>
          </w:p>
        </w:tc>
        <w:tc>
          <w:tcPr>
            <w:tcW w:type="dxa" w:w="2268"/>
          </w:tcPr>
          <w:p>
            <w:pPr>
              <w:jc w:val="left"/>
            </w:pPr>
            <w:r/>
            <w:r>
              <w:rPr>
                <w:rFonts w:ascii="Times New Roman" w:hAnsi="Times New Roman" w:eastAsia="Times New Roman"/>
                <w:b w:val="0"/>
                <w:i w:val="0"/>
                <w:sz w:val="22"/>
              </w:rPr>
              <w:t>A no-code visual strategy builder can enable non-technical retail investors on HOSE to design, backtest, and iterate on quantitative strategies — addressing the gap left by existing no-code platforms (Zerodha Streak, AlgoBulls) that do not support HOSE</w:t>
            </w:r>
          </w:p>
        </w:tc>
        <w:tc>
          <w:tcPr>
            <w:tcW w:type="dxa" w:w="2268"/>
          </w:tcPr>
          <w:p>
            <w:pPr>
              <w:jc w:val="left"/>
            </w:pPr>
            <w:r/>
            <w:r>
              <w:rPr>
                <w:rFonts w:ascii="Times New Roman" w:hAnsi="Times New Roman" w:eastAsia="Times New Roman"/>
                <w:b w:val="0"/>
                <w:i w:val="0"/>
                <w:sz w:val="22"/>
              </w:rPr>
              <w:t>Supported</w:t>
            </w:r>
          </w:p>
        </w:tc>
        <w:tc>
          <w:tcPr>
            <w:tcW w:type="dxa" w:w="2268"/>
          </w:tcPr>
          <w:p>
            <w:pPr>
              <w:jc w:val="left"/>
            </w:pPr>
            <w:r/>
            <w:r>
              <w:rPr>
                <w:rFonts w:ascii="Times New Roman" w:hAnsi="Times New Roman" w:eastAsia="Times New Roman"/>
                <w:b w:val="0"/>
                <w:i w:val="0"/>
                <w:sz w:val="22"/>
              </w:rPr>
              <w:t>Strategy Builder provides drag-and-drop node-based interface; users construct and backtest strategies without writing code (demonstrated with RSI Reversal strategy in Figure 4.4)</w:t>
            </w:r>
          </w:p>
        </w:tc>
      </w:tr>
      <w:tr>
        <w:tc>
          <w:tcPr>
            <w:tcW w:type="dxa" w:w="2268"/>
          </w:tcPr>
          <w:p>
            <w:pPr>
              <w:jc w:val="left"/>
            </w:pPr>
            <w:r/>
            <w:r>
              <w:rPr>
                <w:rFonts w:ascii="Times New Roman" w:hAnsi="Times New Roman" w:eastAsia="Times New Roman"/>
                <w:b w:val="0"/>
                <w:i w:val="0"/>
                <w:sz w:val="22"/>
              </w:rPr>
              <w:t>H4</w:t>
            </w:r>
          </w:p>
        </w:tc>
        <w:tc>
          <w:tcPr>
            <w:tcW w:type="dxa" w:w="2268"/>
          </w:tcPr>
          <w:p>
            <w:pPr>
              <w:jc w:val="left"/>
            </w:pPr>
            <w:r/>
            <w:r>
              <w:rPr>
                <w:rFonts w:ascii="Times New Roman" w:hAnsi="Times New Roman" w:eastAsia="Times New Roman"/>
                <w:b w:val="0"/>
                <w:i w:val="0"/>
                <w:sz w:val="22"/>
              </w:rPr>
              <w:t>A multi-stage data validation pipeline that handles issues from raw open-source data access via vnstock (corporate action gaps, trading halts, price inconsistencies, coverage variations) can ensure analytical reliability</w:t>
            </w:r>
          </w:p>
        </w:tc>
        <w:tc>
          <w:tcPr>
            <w:tcW w:type="dxa" w:w="2268"/>
          </w:tcPr>
          <w:p>
            <w:pPr>
              <w:jc w:val="left"/>
            </w:pPr>
            <w:r/>
            <w:r>
              <w:rPr>
                <w:rFonts w:ascii="Times New Roman" w:hAnsi="Times New Roman" w:eastAsia="Times New Roman"/>
                <w:b w:val="0"/>
                <w:i w:val="0"/>
                <w:sz w:val="22"/>
              </w:rPr>
              <w:t>Supported</w:t>
            </w:r>
          </w:p>
        </w:tc>
        <w:tc>
          <w:tcPr>
            <w:tcW w:type="dxa" w:w="2268"/>
          </w:tcPr>
          <w:p>
            <w:pPr>
              <w:jc w:val="left"/>
            </w:pPr>
            <w:r/>
            <w:r>
              <w:rPr>
                <w:rFonts w:ascii="Times New Roman" w:hAnsi="Times New Roman" w:eastAsia="Times New Roman"/>
                <w:b w:val="0"/>
                <w:i w:val="0"/>
                <w:sz w:val="22"/>
              </w:rPr>
              <w:t>Pipeline validates 768,718 OHLCV records with logical consistency checks, rejection categorisation, and minimum acceptance ratio thresholds (95% for price data)</w:t>
            </w:r>
          </w:p>
        </w:tc>
      </w:tr>
      <w:tr>
        <w:tc>
          <w:tcPr>
            <w:tcW w:type="dxa" w:w="2268"/>
          </w:tcPr>
          <w:p>
            <w:pPr>
              <w:jc w:val="left"/>
            </w:pPr>
            <w:r/>
            <w:r>
              <w:rPr>
                <w:rFonts w:ascii="Times New Roman" w:hAnsi="Times New Roman" w:eastAsia="Times New Roman"/>
                <w:b w:val="0"/>
                <w:i w:val="0"/>
                <w:sz w:val="22"/>
              </w:rPr>
              <w:t>H5</w:t>
            </w:r>
          </w:p>
        </w:tc>
        <w:tc>
          <w:tcPr>
            <w:tcW w:type="dxa" w:w="2268"/>
          </w:tcPr>
          <w:p>
            <w:pPr>
              <w:jc w:val="left"/>
            </w:pPr>
            <w:r/>
            <w:r>
              <w:rPr>
                <w:rFonts w:ascii="Times New Roman" w:hAnsi="Times New Roman" w:eastAsia="Times New Roman"/>
                <w:b w:val="0"/>
                <w:i w:val="0"/>
                <w:sz w:val="22"/>
              </w:rPr>
              <w:t>An AI assistant with evidence-grounded abstention can provide reliable financial analysis while avoiding misleading outputs</w:t>
            </w:r>
          </w:p>
        </w:tc>
        <w:tc>
          <w:tcPr>
            <w:tcW w:type="dxa" w:w="2268"/>
          </w:tcPr>
          <w:p>
            <w:pPr>
              <w:jc w:val="left"/>
            </w:pPr>
            <w:r/>
            <w:r>
              <w:rPr>
                <w:rFonts w:ascii="Times New Roman" w:hAnsi="Times New Roman" w:eastAsia="Times New Roman"/>
                <w:b w:val="0"/>
                <w:i w:val="0"/>
                <w:sz w:val="22"/>
              </w:rPr>
              <w:t>Partially Supported</w:t>
            </w:r>
          </w:p>
        </w:tc>
        <w:tc>
          <w:tcPr>
            <w:tcW w:type="dxa" w:w="2268"/>
          </w:tcPr>
          <w:p>
            <w:pPr>
              <w:jc w:val="left"/>
            </w:pPr>
            <w:r/>
            <w:r>
              <w:rPr>
                <w:rFonts w:ascii="Times New Roman" w:hAnsi="Times New Roman" w:eastAsia="Times New Roman"/>
                <w:b w:val="0"/>
                <w:i w:val="0"/>
                <w:sz w:val="22"/>
              </w:rPr>
              <w:t>Assistant grounds answers in internal computation and declines unsupported queries; however, no user study has been conducted to measure perceived reliability or decision quality</w:t>
            </w:r>
          </w:p>
        </w:tc>
      </w:tr>
    </w:tbl>
    <w:p>
      <w:pPr>
        <w:spacing w:after="200" w:before="80" w:line="360" w:lineRule="auto"/>
        <w:jc w:val="center"/>
      </w:pPr>
      <w:r>
        <w:rPr>
          <w:rFonts w:ascii="Times New Roman" w:hAnsi="Times New Roman" w:eastAsia="Times New Roman"/>
          <w:b w:val="0"/>
          <w:i/>
          <w:sz w:val="22"/>
        </w:rPr>
        <w:t>Table A.1: Research hypothesis evaluation summary.</w:t>
      </w:r>
    </w:p>
    <w:p>
      <w:pPr>
        <w:spacing w:before="240" w:after="120" w:line="360" w:lineRule="auto"/>
        <w:jc w:val="left"/>
        <w:outlineLvl w:val="1"/>
      </w:pPr>
      <w:r>
        <w:rPr>
          <w:rFonts w:ascii="Times New Roman" w:hAnsi="Times New Roman" w:eastAsia="Times New Roman"/>
          <w:b/>
          <w:i w:val="0"/>
          <w:color w:val="000000"/>
          <w:sz w:val="28"/>
        </w:rPr>
        <w:t>A.2 Detailed Evaluation</w:t>
      </w:r>
    </w:p>
    <w:p>
      <w:pPr>
        <w:spacing w:before="240" w:after="120" w:line="360" w:lineRule="auto"/>
        <w:jc w:val="left"/>
        <w:outlineLvl w:val="2"/>
      </w:pPr>
      <w:r>
        <w:rPr>
          <w:rFonts w:ascii="Times New Roman" w:hAnsi="Times New Roman" w:eastAsia="Times New Roman"/>
          <w:b/>
          <w:i w:val="0"/>
          <w:color w:val="000000"/>
          <w:sz w:val="26"/>
        </w:rPr>
        <w:t>H1: Accessibility of Quantitative Tools</w:t>
      </w:r>
    </w:p>
    <w:p>
      <w:pPr>
        <w:spacing w:after="120" w:before="0" w:line="360" w:lineRule="auto"/>
        <w:ind w:firstLine="720"/>
        <w:jc w:val="both"/>
      </w:pPr>
      <w:r>
        <w:rPr>
          <w:rFonts w:ascii="Times New Roman" w:hAnsi="Times New Roman" w:eastAsia="Times New Roman"/>
          <w:b/>
          <w:i w:val="0"/>
          <w:sz w:val="26"/>
        </w:rPr>
        <w:t>Supporting evidence: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platform provides 8 integrated modules (Stock Screener, Charts &amp; Analysis, Backtesting, Portfolio Optimisation, Risk Management, Factor Analysis, Strategy Builder, AI Assistant) accessible through a web browser.</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No installation, programming knowledge, or specialised software is required.</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user interface is designed with Vietnamese language support and contextual guidance.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stock screener covers 412 actively traded HOSE symbols with multi-criteria filtering (industry sector, liquidity range, listing status).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A unified sidebar navigation structure allows access to all modules from a single workspace.</w:t>
      </w:r>
    </w:p>
    <w:p>
      <w:pPr>
        <w:spacing w:after="120" w:before="0" w:line="360" w:lineRule="auto"/>
        <w:ind w:firstLine="720"/>
        <w:jc w:val="both"/>
      </w:pPr>
      <w:r>
        <w:rPr>
          <w:rFonts w:ascii="Times New Roman" w:hAnsi="Times New Roman" w:eastAsia="Times New Roman"/>
          <w:b/>
          <w:i w:val="0"/>
          <w:sz w:val="26"/>
        </w:rPr>
        <w:t>Limitation:</w:t>
      </w:r>
      <w:r>
        <w:rPr>
          <w:rFonts w:ascii="Times New Roman" w:hAnsi="Times New Roman" w:eastAsia="Times New Roman"/>
          <w:b w:val="0"/>
          <w:i w:val="0"/>
          <w:sz w:val="26"/>
        </w:rPr>
        <w:t xml:space="preserve"> No formal usability study has been conducted with actual retail investors to measure ease of use or learning curve. The accessibility claim is based on design principles and feature availability rather than empirical user research.</w:t>
      </w:r>
    </w:p>
    <w:p>
      <w:pPr>
        <w:spacing w:before="240" w:after="120" w:line="360" w:lineRule="auto"/>
        <w:jc w:val="left"/>
        <w:outlineLvl w:val="2"/>
      </w:pPr>
      <w:r>
        <w:rPr>
          <w:rFonts w:ascii="Times New Roman" w:hAnsi="Times New Roman" w:eastAsia="Times New Roman"/>
          <w:b/>
          <w:i w:val="0"/>
          <w:color w:val="000000"/>
          <w:sz w:val="26"/>
        </w:rPr>
        <w:t>H2: Vietnamese Market Parameter Integration</w:t>
      </w:r>
    </w:p>
    <w:p>
      <w:pPr>
        <w:spacing w:after="120" w:before="0" w:line="360" w:lineRule="auto"/>
        <w:ind w:firstLine="720"/>
        <w:jc w:val="both"/>
      </w:pPr>
      <w:r>
        <w:rPr>
          <w:rFonts w:ascii="Times New Roman" w:hAnsi="Times New Roman" w:eastAsia="Times New Roman"/>
          <w:b/>
          <w:i w:val="0"/>
          <w:sz w:val="26"/>
        </w:rPr>
        <w:t>Supporting evidence: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backtesting engine applies HOSE's 100-share lot size by default, which affects position sizing and prevents fractional-lot trades that would be impossible in practice.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Transaction costs (brokerage fee, sell tax, slippage) are applied at trade execution, reducing simulated returns to realistic net-of-cost levels.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Next-open execution model avoids the common backtest pitfall of assuming execution at the signal-generating close price.</w:t>
      </w:r>
    </w:p>
    <w:p>
      <w:pPr>
        <w:spacing w:after="120" w:before="0" w:line="360" w:lineRule="auto"/>
        <w:ind w:firstLine="720"/>
        <w:jc w:val="both"/>
      </w:pPr>
      <w:r>
        <w:rPr>
          <w:rFonts w:ascii="Times New Roman" w:hAnsi="Times New Roman" w:eastAsia="Times New Roman"/>
          <w:b/>
          <w:i w:val="0"/>
          <w:sz w:val="26"/>
        </w:rPr>
        <w:t>Implication:</w:t>
      </w:r>
      <w:r>
        <w:rPr>
          <w:rFonts w:ascii="Times New Roman" w:hAnsi="Times New Roman" w:eastAsia="Times New Roman"/>
          <w:b w:val="0"/>
          <w:i w:val="0"/>
          <w:sz w:val="26"/>
        </w:rPr>
        <w:t xml:space="preserve"> Strategies that appear profitable on platforms without these parameters may show reduced or negative returns when local costs are applied — directly affecting retail investors' capital allocation decisions.</w:t>
      </w:r>
    </w:p>
    <w:p>
      <w:pPr>
        <w:spacing w:after="120" w:before="0" w:line="360" w:lineRule="auto"/>
        <w:ind w:firstLine="720"/>
        <w:jc w:val="both"/>
      </w:pPr>
      <w:r>
        <w:rPr>
          <w:rFonts w:ascii="Times New Roman" w:hAnsi="Times New Roman" w:eastAsia="Times New Roman"/>
          <w:b/>
          <w:i w:val="0"/>
          <w:sz w:val="26"/>
        </w:rPr>
        <w:t>Limitation:</w:t>
      </w:r>
      <w:r>
        <w:rPr>
          <w:rFonts w:ascii="Times New Roman" w:hAnsi="Times New Roman" w:eastAsia="Times New Roman"/>
          <w:b w:val="0"/>
          <w:i w:val="0"/>
          <w:sz w:val="26"/>
        </w:rPr>
        <w:t xml:space="preserve"> A systematic comparison of backtest results with and without local parameters across a defined strategy set has not been conducted as a formal experiment. The hypothesis is supported by design implementation rather than empirical comparison.</w:t>
      </w:r>
    </w:p>
    <w:p>
      <w:pPr>
        <w:spacing w:before="240" w:after="120" w:line="360" w:lineRule="auto"/>
        <w:jc w:val="left"/>
        <w:outlineLvl w:val="2"/>
      </w:pPr>
      <w:r>
        <w:rPr>
          <w:rFonts w:ascii="Times New Roman" w:hAnsi="Times New Roman" w:eastAsia="Times New Roman"/>
          <w:b/>
          <w:i w:val="0"/>
          <w:color w:val="000000"/>
          <w:sz w:val="26"/>
        </w:rPr>
        <w:t>H3: No-Code Strategy Design for Vietnamese Retail Investors</w:t>
      </w:r>
    </w:p>
    <w:p>
      <w:pPr>
        <w:spacing w:after="120" w:before="0" w:line="360" w:lineRule="auto"/>
        <w:ind w:firstLine="720"/>
        <w:jc w:val="both"/>
      </w:pPr>
      <w:r>
        <w:rPr>
          <w:rFonts w:ascii="Times New Roman" w:hAnsi="Times New Roman" w:eastAsia="Times New Roman"/>
          <w:b/>
          <w:i w:val="0"/>
          <w:sz w:val="26"/>
        </w:rPr>
        <w:t>Context:</w:t>
      </w:r>
      <w:r>
        <w:rPr>
          <w:rFonts w:ascii="Times New Roman" w:hAnsi="Times New Roman" w:eastAsia="Times New Roman"/>
          <w:b w:val="0"/>
          <w:i w:val="0"/>
          <w:sz w:val="26"/>
        </w:rPr>
        <w:t xml:space="preserve"> Existing no-code algorithmic trading platforms — such as Zerodha Streak (India), uTrade Algos, and AlgoBulls — offer visual, code-free strategy design and backtesting. However, none of these platforms support Vietnamese equities, HOSE market data, or local trading conventions (lot sizes, transaction taxes, T+2 settlement). Vietnamese investors who cannot code are therefore excluded from this category of tools entirely.</w:t>
      </w:r>
    </w:p>
    <w:p>
      <w:pPr>
        <w:spacing w:after="120" w:before="0" w:line="360" w:lineRule="auto"/>
        <w:ind w:firstLine="720"/>
        <w:jc w:val="both"/>
      </w:pPr>
      <w:r>
        <w:rPr>
          <w:rFonts w:ascii="Times New Roman" w:hAnsi="Times New Roman" w:eastAsia="Times New Roman"/>
          <w:b/>
          <w:i w:val="0"/>
          <w:sz w:val="26"/>
        </w:rPr>
        <w:t>Supporting evidence: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Strategy Builder canvas supports drag-and-drop composition with node types: Data Source, Indicator, Filter, Signal, and Output.</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Strategies can be saved, exported, and directly executed against historical HOSE data.</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demonstrated RSI Reversal strategy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REF _Figure_4_4 \h </w:instrText>
      </w:r>
      <w:r>
        <w:rPr>
          <w:rFonts w:ascii="Times New Roman" w:hAnsi="Times New Roman" w:eastAsia="Times New Roman"/>
          <w:b w:val="0"/>
          <w:i w:val="0"/>
          <w:sz w:val="26"/>
        </w:rPr>
        <w:fldChar w:fldCharType="separate"/>
      </w:r>
      <w:r>
        <w:rPr>
          <w:rFonts w:ascii="Times New Roman" w:hAnsi="Times New Roman" w:eastAsia="Times New Roman"/>
          <w:b w:val="0"/>
          <w:i w:val="0"/>
          <w:sz w:val="26"/>
        </w:rPr>
        <w:t>Figure 4.4</w:t>
      </w:r>
      <w:r>
        <w:rPr>
          <w:rFonts w:ascii="Times New Roman" w:hAnsi="Times New Roman" w:eastAsia="Times New Roman"/>
          <w:b w:val="0"/>
          <w:i w:val="0"/>
          <w:sz w:val="26"/>
        </w:rPr>
        <w:fldChar w:fldCharType="end"/>
      </w:r>
      <w:r>
        <w:rPr>
          <w:rFonts w:ascii="Times New Roman" w:hAnsi="Times New Roman" w:eastAsia="Times New Roman"/>
          <w:b w:val="0"/>
          <w:i w:val="0"/>
          <w:sz w:val="26"/>
        </w:rPr>
        <w:t>) shows a complete workflow from data loading through condition filtering to performance evaluation — all without code.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visual node graph provides an explicit representation of data flow that non-technical users can read and modify.</w:t>
      </w:r>
    </w:p>
    <w:p>
      <w:pPr>
        <w:spacing w:after="120" w:before="0" w:line="360" w:lineRule="auto"/>
        <w:ind w:firstLine="720"/>
        <w:jc w:val="both"/>
      </w:pPr>
      <w:r>
        <w:rPr>
          <w:rFonts w:ascii="Times New Roman" w:hAnsi="Times New Roman" w:eastAsia="Times New Roman"/>
          <w:b/>
          <w:i w:val="0"/>
          <w:sz w:val="26"/>
        </w:rPr>
        <w:t>Limitation:</w:t>
      </w:r>
      <w:r>
        <w:rPr>
          <w:rFonts w:ascii="Times New Roman" w:hAnsi="Times New Roman" w:eastAsia="Times New Roman"/>
          <w:b w:val="0"/>
          <w:i w:val="0"/>
          <w:sz w:val="26"/>
        </w:rPr>
        <w:t xml:space="preserve"> No user study has been conducted to formally measure whether non-technical investors can successfully build strategies independently. The hypothesis is supported by the existence of the feature and its design principles, with implicit comparison to the absence of HOSE-compatible no-code alternatives.</w:t>
      </w:r>
    </w:p>
    <w:p>
      <w:pPr>
        <w:spacing w:before="240" w:after="120" w:line="360" w:lineRule="auto"/>
        <w:jc w:val="left"/>
        <w:outlineLvl w:val="2"/>
      </w:pPr>
      <w:r>
        <w:rPr>
          <w:rFonts w:ascii="Times New Roman" w:hAnsi="Times New Roman" w:eastAsia="Times New Roman"/>
          <w:b/>
          <w:i w:val="0"/>
          <w:color w:val="000000"/>
          <w:sz w:val="26"/>
        </w:rPr>
        <w:t>H4: Data Validation Pipeline for HOSE Data Quality</w:t>
      </w:r>
    </w:p>
    <w:p>
      <w:pPr>
        <w:spacing w:after="120" w:before="0" w:line="360" w:lineRule="auto"/>
        <w:ind w:firstLine="720"/>
        <w:jc w:val="both"/>
      </w:pPr>
      <w:r>
        <w:rPr>
          <w:rFonts w:ascii="Times New Roman" w:hAnsi="Times New Roman" w:eastAsia="Times New Roman"/>
          <w:b/>
          <w:i w:val="0"/>
          <w:sz w:val="26"/>
        </w:rPr>
        <w:t>Context:</w:t>
      </w:r>
      <w:r>
        <w:rPr>
          <w:rFonts w:ascii="Times New Roman" w:hAnsi="Times New Roman" w:eastAsia="Times New Roman"/>
          <w:b w:val="0"/>
          <w:i w:val="0"/>
          <w:sz w:val="26"/>
        </w:rPr>
        <w:t xml:space="preserve"> Vietnam's equity data ecosystem includes both commercial providers (FiinPro, CafeF, VietstockFinance) that offer curated, subscription-based data feeds, and free open-source alternatives. The platform deliberately uses vnstock as a freely accessible data source to maintain accessibility for retail investors. Raw data accessed via vnstock — sourced directly from exchange APIs — may contain price record inconsistencies, corporate action gaps, and symbol-level coverage variations that require explicit validation before quantitative use.</w:t>
      </w:r>
    </w:p>
    <w:p>
      <w:pPr>
        <w:spacing w:after="120" w:before="0" w:line="360" w:lineRule="auto"/>
        <w:ind w:firstLine="720"/>
        <w:jc w:val="both"/>
      </w:pPr>
      <w:r>
        <w:rPr>
          <w:rFonts w:ascii="Times New Roman" w:hAnsi="Times New Roman" w:eastAsia="Times New Roman"/>
          <w:b/>
          <w:i w:val="0"/>
          <w:sz w:val="26"/>
        </w:rPr>
        <w:t>Supporting evidence: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pipeline processes 768,718 OHLCV records with validation rules including: non-null fields, positive prices, logical price relationships (High ≥ Low, High ≥ Close, Low ≤ Open), and finite numeric values.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Rejected records are categorised by failure reason, enabling root cause analysis.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Runtime quality gates prevent computation on datasets below the acceptance threshold (default 95%).</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Data manifest records coverage statistics for each dataset, providing transparency on how much data was available and used.</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Portfolio optimisation automatically excludes assets with fewer than 60 days of history or insufficient pairwise data overlap (&lt; 30 days).</w:t>
      </w:r>
    </w:p>
    <w:p>
      <w:pPr>
        <w:spacing w:after="120" w:before="0" w:line="360" w:lineRule="auto"/>
        <w:ind w:firstLine="720"/>
        <w:jc w:val="both"/>
      </w:pPr>
      <w:r>
        <w:rPr>
          <w:rFonts w:ascii="Times New Roman" w:hAnsi="Times New Roman" w:eastAsia="Times New Roman"/>
          <w:b/>
          <w:i w:val="0"/>
          <w:sz w:val="26"/>
        </w:rPr>
        <w:t>Limitation:</w:t>
      </w:r>
      <w:r>
        <w:rPr>
          <w:rFonts w:ascii="Times New Roman" w:hAnsi="Times New Roman" w:eastAsia="Times New Roman"/>
          <w:b w:val="0"/>
          <w:i w:val="0"/>
          <w:sz w:val="26"/>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pPr>
        <w:spacing w:before="240" w:after="120" w:line="360" w:lineRule="auto"/>
        <w:jc w:val="left"/>
        <w:outlineLvl w:val="2"/>
      </w:pPr>
      <w:r>
        <w:rPr>
          <w:rFonts w:ascii="Times New Roman" w:hAnsi="Times New Roman" w:eastAsia="Times New Roman"/>
          <w:b/>
          <w:i w:val="0"/>
          <w:color w:val="000000"/>
          <w:sz w:val="26"/>
        </w:rPr>
        <w:t>H5: AI Assistant Reliability</w:t>
      </w:r>
    </w:p>
    <w:p>
      <w:pPr>
        <w:spacing w:after="120" w:before="0" w:line="360" w:lineRule="auto"/>
        <w:ind w:firstLine="720"/>
        <w:jc w:val="both"/>
      </w:pPr>
      <w:r>
        <w:rPr>
          <w:rFonts w:ascii="Times New Roman" w:hAnsi="Times New Roman" w:eastAsia="Times New Roman"/>
          <w:b/>
          <w:i w:val="0"/>
          <w:sz w:val="26"/>
        </w:rPr>
        <w:t>Supporting evidence:</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The assistant retrieves computed results from internal modules before generating responses.</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Policy gating ensures numeric claims are backed by internal computation.</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When the assistant cannot ground a response, it explicitly declines with an explanation rather than generating a plausible but potentially false answer.</w:t>
      </w:r>
    </w:p>
    <w:p>
      <w:pPr>
        <w:spacing w:after="60" w:before="0" w:line="360" w:lineRule="auto"/>
        <w:ind w:left="720"/>
        <w:jc w:val="both"/>
      </w:pPr>
      <w:r>
        <w:rPr>
          <w:rFonts w:ascii="Times New Roman" w:hAnsi="Times New Roman" w:eastAsia="Times New Roman"/>
          <w:b w:val="0"/>
          <w:i w:val="0"/>
          <w:sz w:val="26"/>
        </w:rPr>
        <w:t xml:space="preserve">•  </w:t>
      </w:r>
      <w:r>
        <w:rPr>
          <w:rFonts w:ascii="Times New Roman" w:hAnsi="Times New Roman" w:eastAsia="Times New Roman"/>
          <w:b w:val="0"/>
          <w:i w:val="0"/>
          <w:sz w:val="26"/>
        </w:rPr>
        <w:t>No hallucinated statistics were observed during development testing.</w:t>
      </w:r>
    </w:p>
    <w:p>
      <w:pPr>
        <w:spacing w:after="120" w:before="0" w:line="360" w:lineRule="auto"/>
        <w:ind w:firstLine="720"/>
        <w:jc w:val="both"/>
      </w:pPr>
      <w:r>
        <w:rPr>
          <w:rFonts w:ascii="Times New Roman" w:hAnsi="Times New Roman" w:eastAsia="Times New Roman"/>
          <w:b/>
          <w:i w:val="0"/>
          <w:sz w:val="26"/>
        </w:rPr>
        <w:t>Limitation:</w:t>
      </w:r>
      <w:r>
        <w:rPr>
          <w:rFonts w:ascii="Times New Roman" w:hAnsi="Times New Roman" w:eastAsia="Times New Roman"/>
          <w:b w:val="0"/>
          <w:i w:val="0"/>
          <w:sz w:val="26"/>
        </w:rPr>
        <w:t xml:space="preserve"> The abstention behaviour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pPr>
        <w:spacing w:before="240" w:after="120" w:line="360" w:lineRule="auto"/>
        <w:jc w:val="left"/>
        <w:outlineLvl w:val="1"/>
      </w:pPr>
      <w:r>
        <w:rPr>
          <w:rFonts w:ascii="Times New Roman" w:hAnsi="Times New Roman" w:eastAsia="Times New Roman"/>
          <w:b/>
          <w:i w:val="0"/>
          <w:color w:val="000000"/>
          <w:sz w:val="28"/>
        </w:rPr>
        <w:t>A.3 Additional Platform Screenshots</w:t>
      </w:r>
    </w:p>
    <w:p>
      <w:pPr>
        <w:spacing w:after="120" w:before="0" w:line="360" w:lineRule="auto"/>
        <w:ind w:firstLine="720"/>
        <w:jc w:val="both"/>
      </w:pPr>
      <w:r>
        <w:rPr>
          <w:rFonts w:ascii="Times New Roman" w:hAnsi="Times New Roman" w:eastAsia="Times New Roman"/>
          <w:b w:val="0"/>
          <w:i w:val="0"/>
          <w:sz w:val="26"/>
        </w:rPr>
        <w:t>The following screenshots demonstrate additional platform modules referenced in the thesis.</w:t>
      </w:r>
    </w:p>
    <w:p>
      <w:pPr>
        <w:spacing w:after="120" w:before="240" w:line="360" w:lineRule="auto"/>
        <w:jc w:val="center"/>
      </w:pPr>
      <w:r>
        <w:drawing>
          <wp:inline xmlns:a="http://schemas.openxmlformats.org/drawingml/2006/main" xmlns:pic="http://schemas.openxmlformats.org/drawingml/2006/picture">
            <wp:extent cx="4680000" cy="2587000"/>
            <wp:docPr id="12" name="Picture 12"/>
            <wp:cNvGraphicFramePr>
              <a:graphicFrameLocks noChangeAspect="1"/>
            </wp:cNvGraphicFramePr>
            <a:graphic>
              <a:graphicData uri="http://schemas.openxmlformats.org/drawingml/2006/picture">
                <pic:pic>
                  <pic:nvPicPr>
                    <pic:cNvPr id="0" name="fig_screener.png"/>
                    <pic:cNvPicPr/>
                  </pic:nvPicPr>
                  <pic:blipFill>
                    <a:blip r:embed="rId13"/>
                    <a:stretch>
                      <a:fillRect/>
                    </a:stretch>
                  </pic:blipFill>
                  <pic:spPr>
                    <a:xfrm>
                      <a:off x="0" y="0"/>
                      <a:ext cx="4680000" cy="2587000"/>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A.1: Stock Screener interface with multi-criteria filtering across 412 HOSE-listed symbols.</w:t>
      </w:r>
    </w:p>
    <w:p>
      <w:pPr>
        <w:spacing w:after="120" w:before="240" w:line="360" w:lineRule="auto"/>
        <w:jc w:val="center"/>
      </w:pPr>
      <w:r>
        <w:drawing>
          <wp:inline xmlns:a="http://schemas.openxmlformats.org/drawingml/2006/main" xmlns:pic="http://schemas.openxmlformats.org/drawingml/2006/picture">
            <wp:extent cx="4680000" cy="2587000"/>
            <wp:docPr id="13" name="Picture 13"/>
            <wp:cNvGraphicFramePr>
              <a:graphicFrameLocks noChangeAspect="1"/>
            </wp:cNvGraphicFramePr>
            <a:graphic>
              <a:graphicData uri="http://schemas.openxmlformats.org/drawingml/2006/picture">
                <pic:pic>
                  <pic:nvPicPr>
                    <pic:cNvPr id="0" name="fig_charts.png"/>
                    <pic:cNvPicPr/>
                  </pic:nvPicPr>
                  <pic:blipFill>
                    <a:blip r:embed="rId14"/>
                    <a:stretch>
                      <a:fillRect/>
                    </a:stretch>
                  </pic:blipFill>
                  <pic:spPr>
                    <a:xfrm>
                      <a:off x="0" y="0"/>
                      <a:ext cx="4680000" cy="2587000"/>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A.2: Interactive Charts module showing stock analysis with price data, returns, volatility, and comparison workspace.</w:t>
      </w:r>
    </w:p>
    <w:p>
      <w:pPr>
        <w:spacing w:after="120" w:before="240" w:line="360" w:lineRule="auto"/>
        <w:jc w:val="center"/>
      </w:pPr>
      <w:r>
        <w:drawing>
          <wp:inline xmlns:a="http://schemas.openxmlformats.org/drawingml/2006/main" xmlns:pic="http://schemas.openxmlformats.org/drawingml/2006/picture">
            <wp:extent cx="4680000" cy="2587000"/>
            <wp:docPr id="14" name="Picture 14"/>
            <wp:cNvGraphicFramePr>
              <a:graphicFrameLocks noChangeAspect="1"/>
            </wp:cNvGraphicFramePr>
            <a:graphic>
              <a:graphicData uri="http://schemas.openxmlformats.org/drawingml/2006/picture">
                <pic:pic>
                  <pic:nvPicPr>
                    <pic:cNvPr id="0" name="fig_portfolio.png"/>
                    <pic:cNvPicPr/>
                  </pic:nvPicPr>
                  <pic:blipFill>
                    <a:blip r:embed="rId15"/>
                    <a:stretch>
                      <a:fillRect/>
                    </a:stretch>
                  </pic:blipFill>
                  <pic:spPr>
                    <a:xfrm>
                      <a:off x="0" y="0"/>
                      <a:ext cx="4680000" cy="2587000"/>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A.3: Portfolio Optimisation module with asset universe selection and Mean-Variance solver configuration.</w:t>
      </w:r>
    </w:p>
    <w:p>
      <w:pPr>
        <w:spacing w:after="120" w:before="240" w:line="360" w:lineRule="auto"/>
        <w:jc w:val="center"/>
      </w:pPr>
      <w:r>
        <w:drawing>
          <wp:inline xmlns:a="http://schemas.openxmlformats.org/drawingml/2006/main" xmlns:pic="http://schemas.openxmlformats.org/drawingml/2006/picture">
            <wp:extent cx="4680000" cy="2587000"/>
            <wp:docPr id="15" name="Picture 15"/>
            <wp:cNvGraphicFramePr>
              <a:graphicFrameLocks noChangeAspect="1"/>
            </wp:cNvGraphicFramePr>
            <a:graphic>
              <a:graphicData uri="http://schemas.openxmlformats.org/drawingml/2006/picture">
                <pic:pic>
                  <pic:nvPicPr>
                    <pic:cNvPr id="0" name="fig_risk.png"/>
                    <pic:cNvPicPr/>
                  </pic:nvPicPr>
                  <pic:blipFill>
                    <a:blip r:embed="rId16"/>
                    <a:stretch>
                      <a:fillRect/>
                    </a:stretch>
                  </pic:blipFill>
                  <pic:spPr>
                    <a:xfrm>
                      <a:off x="0" y="0"/>
                      <a:ext cx="4680000" cy="2587000"/>
                    </a:xfrm>
                    <a:prstGeom prst="rect"/>
                  </pic:spPr>
                </pic:pic>
              </a:graphicData>
            </a:graphic>
          </wp:inline>
        </w:drawing>
      </w:r>
    </w:p>
    <w:p>
      <w:pPr>
        <w:spacing w:after="240" w:before="0" w:line="360" w:lineRule="auto"/>
        <w:jc w:val="center"/>
      </w:pPr>
      <w:r>
        <w:rPr>
          <w:rFonts w:ascii="Times New Roman" w:hAnsi="Times New Roman" w:eastAsia="Times New Roman"/>
          <w:b w:val="0"/>
          <w:i/>
          <w:sz w:val="22"/>
        </w:rPr>
        <w:t>Figure A.4: Risk Management dashboard displaying VaR, Volatility, Beta, Maximum Drawdown, Sortino Ratio, drawdown history, and rolling volatility charts.</w:t>
      </w:r>
    </w:p>
    <w:p>
      <w:r>
        <w:br w:type="page"/>
      </w:r>
    </w:p>
    <w:sectPr w:rsidR="00500345" w:rsidSect="00C56DBF">
      <w:footerReference w:type="default" r:id="rId8"/>
      <w:pgSz w:w="11906" w:h="16838" w:code="9"/>
      <w:pgMar w:top="1417" w:right="1134"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20" w:after="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