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003366"/>
          <w:sz w:val="48"/>
        </w:rPr>
        <w:t>BÁO CÁO DỰ ÁN</w:t>
      </w:r>
    </w:p>
    <w:p>
      <w:pPr>
        <w:pStyle w:val="Title"/>
        <w:jc w:val="center"/>
      </w:pPr>
      <w:r>
        <w:rPr>
          <w:rFonts w:ascii="Arial" w:hAnsi="Arial"/>
          <w:b/>
          <w:color w:val="CC0000"/>
          <w:sz w:val="56"/>
        </w:rPr>
        <w:t>DLM-FORECAST</w:t>
      </w:r>
    </w:p>
    <w:p>
      <w:pPr>
        <w:jc w:val="center"/>
      </w:pPr>
      <w:r>
        <w:rPr>
          <w:rFonts w:ascii="Arial" w:hAnsi="Arial"/>
          <w:i/>
          <w:sz w:val="28"/>
        </w:rPr>
        <w:t>Dự báo NASDAQ với Dynamic Linear Model</w:t>
      </w:r>
    </w:p>
    <w:p/>
    <w:p/>
    <w:p>
      <w:pPr>
        <w:jc w:val="center"/>
      </w:pPr>
      <w:r>
        <w:rPr>
          <w:rFonts w:ascii="Arial" w:hAnsi="Arial"/>
          <w:sz w:val="24"/>
        </w:rPr>
        <w:t>Báo cáo nội bộ nhóm</w:t>
      </w:r>
    </w:p>
    <w:p>
      <w:pPr>
        <w:jc w:val="center"/>
      </w:pPr>
      <w:r>
        <w:rPr>
          <w:rFonts w:ascii="Arial" w:hAnsi="Arial"/>
          <w:sz w:val="24"/>
        </w:rPr>
        <w:t>Tháng 2/2026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3366"/>
        </w:rPr>
        <w:t>Mục lục</w:t>
      </w:r>
    </w:p>
    <w:p>
      <w:pPr>
        <w:pStyle w:val="ListNumber"/>
      </w:pPr>
      <w:r>
        <w:t>1. Tổng quan dự án</w:t>
      </w:r>
    </w:p>
    <w:p>
      <w:pPr>
        <w:pStyle w:val="ListNumber"/>
      </w:pPr>
      <w:r>
        <w:t>2. Phương pháp luận</w:t>
      </w:r>
    </w:p>
    <w:p>
      <w:pPr>
        <w:pStyle w:val="ListNumber"/>
      </w:pPr>
      <w:r>
        <w:t>3. Quy trình triển khai</w:t>
      </w:r>
    </w:p>
    <w:p>
      <w:pPr>
        <w:pStyle w:val="ListNumber"/>
      </w:pPr>
      <w:r>
        <w:t>4. Kết quả thực nghiệm</w:t>
      </w:r>
    </w:p>
    <w:p>
      <w:pPr>
        <w:pStyle w:val="ListNumber"/>
      </w:pPr>
      <w:r>
        <w:t>5. Kết luận &amp; Khuyến nghị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3366"/>
        </w:rPr>
        <w:t>1. TỔNG QUAN DỰ ÁN</w:t>
      </w:r>
    </w:p>
    <w:p>
      <w:pPr>
        <w:pStyle w:val="Heading2"/>
        <w:jc w:val="left"/>
      </w:pPr>
      <w:r>
        <w:rPr>
          <w:rFonts w:ascii="Arial" w:hAnsi="Arial"/>
          <w:color w:val="003366"/>
        </w:rPr>
        <w:t>1.1. Giới thiệu</w:t>
      </w:r>
    </w:p>
    <w:p>
      <w:r>
        <w:rPr>
          <w:rFonts w:ascii="Arial" w:hAnsi="Arial"/>
          <w:b w:val="0"/>
          <w:i w:val="0"/>
          <w:sz w:val="22"/>
        </w:rPr>
        <w:t>DLM-FORECAST là dự án nghiên cứu dự báo chỉ số NASDAQ sử dụng mô hình Dynamic Linear Model với Time-Varying Parameter và Stochastic Volatility (DLM TVP-SV). Dự án tập trung vào việc dự báo log-return của NASDAQ dựa trên các chỉ số kinh tế vĩ mô và sự kiện đặc biệt.</w:t>
      </w:r>
    </w:p>
    <w:p>
      <w:pPr>
        <w:pStyle w:val="Heading2"/>
        <w:jc w:val="left"/>
      </w:pPr>
      <w:r>
        <w:rPr>
          <w:rFonts w:ascii="Arial" w:hAnsi="Arial"/>
          <w:color w:val="003366"/>
        </w:rPr>
        <w:t>1.2. Mục tiêu</w:t>
      </w:r>
    </w:p>
    <w:p>
      <w:pPr>
        <w:pStyle w:val="ListBullet"/>
      </w:pPr>
      <w:r>
        <w:rPr>
          <w:rFonts w:ascii="Arial" w:hAnsi="Arial"/>
          <w:sz w:val="22"/>
        </w:rPr>
        <w:t>Xây dựng mô hình dự báo chính xác cho NASDAQ log-returns</w:t>
      </w:r>
    </w:p>
    <w:p>
      <w:pPr>
        <w:pStyle w:val="ListBullet"/>
      </w:pPr>
      <w:r>
        <w:rPr>
          <w:rFonts w:ascii="Arial" w:hAnsi="Arial"/>
          <w:sz w:val="22"/>
        </w:rPr>
        <w:t>Tích hợp thông tin từ các chỉ số kinh tế vĩ mô (Financial Conditions Index)</w:t>
      </w:r>
    </w:p>
    <w:p>
      <w:pPr>
        <w:pStyle w:val="ListBullet"/>
      </w:pPr>
      <w:r>
        <w:rPr>
          <w:rFonts w:ascii="Arial" w:hAnsi="Arial"/>
          <w:sz w:val="22"/>
        </w:rPr>
        <w:t>Xử lý hiệu quả các sự kiện đặc biệt (cắt giảm lãi suất, tăng thuế, tăng lãi suất)</w:t>
      </w:r>
    </w:p>
    <w:p>
      <w:pPr>
        <w:pStyle w:val="ListBullet"/>
      </w:pPr>
      <w:r>
        <w:rPr>
          <w:rFonts w:ascii="Arial" w:hAnsi="Arial"/>
          <w:sz w:val="22"/>
        </w:rPr>
        <w:t>Đảm bảo nguyên tắc causal inference - KHÔNG sử dụng thông tin tương lai</w:t>
      </w:r>
    </w:p>
    <w:p>
      <w:pPr>
        <w:pStyle w:val="ListBullet"/>
      </w:pPr>
      <w:r>
        <w:rPr>
          <w:rFonts w:ascii="Arial" w:hAnsi="Arial"/>
          <w:sz w:val="22"/>
        </w:rPr>
        <w:t>Đạt độ tin cậy 95% cho khoảng dự báo</w:t>
      </w:r>
    </w:p>
    <w:p>
      <w:pPr>
        <w:pStyle w:val="Heading2"/>
        <w:jc w:val="left"/>
      </w:pPr>
      <w:r>
        <w:rPr>
          <w:rFonts w:ascii="Arial" w:hAnsi="Arial"/>
          <w:color w:val="003366"/>
        </w:rPr>
        <w:t>1.3. Đặc điểm nổi bật</w:t>
      </w:r>
    </w:p>
    <w:p/>
    <w:p>
      <w:r>
        <w:rPr>
          <w:b/>
        </w:rPr>
        <w:t xml:space="preserve">✅ Production Ready: </w:t>
      </w:r>
      <w:r>
        <w:t>Tất cả các chỉ tiêu coverage đạt 95%</w:t>
      </w:r>
    </w:p>
    <w:p>
      <w:r>
        <w:rPr>
          <w:b/>
        </w:rPr>
        <w:t xml:space="preserve">✅ No Look-Ahead Bias: </w:t>
      </w:r>
      <w:r>
        <w:t>Nguyên tắc nghiêm ngặt - tại thời điểm t chỉ sử dụng thông tin ≤ t</w:t>
      </w:r>
    </w:p>
    <w:p>
      <w:r>
        <w:rPr>
          <w:b/>
        </w:rPr>
        <w:t xml:space="preserve">✅ Event-Driven Adaptation: </w:t>
      </w:r>
      <w:r>
        <w:t>Tự động điều chỉnh khi có sự kiện kinh tế quan trọng</w:t>
      </w:r>
    </w:p>
    <w:p>
      <w:r>
        <w:rPr>
          <w:b/>
        </w:rPr>
        <w:t xml:space="preserve">✅ Multi-Step Forecast: </w:t>
      </w:r>
      <w:r>
        <w:t>Dự báo 1-5 ngày giao dịch tiếp theo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3366"/>
        </w:rPr>
        <w:t>2. PHƯƠNG PHÁP LUẬN</w:t>
      </w:r>
    </w:p>
    <w:p>
      <w:pPr>
        <w:pStyle w:val="Heading2"/>
        <w:jc w:val="left"/>
      </w:pPr>
      <w:r>
        <w:rPr>
          <w:rFonts w:ascii="Arial" w:hAnsi="Arial"/>
          <w:color w:val="003366"/>
        </w:rPr>
        <w:t>2.1. Dynamic Linear Model (DLM)</w:t>
      </w:r>
    </w:p>
    <w:p>
      <w:r>
        <w:rPr>
          <w:rFonts w:ascii="Arial" w:hAnsi="Arial"/>
          <w:b w:val="0"/>
          <w:i w:val="0"/>
          <w:sz w:val="22"/>
        </w:rPr>
        <w:t>Mô hình DLM là một dạng state-space model cho phép các tham số thay đổi theo thời gian. Công thức cơ bản:</w:t>
      </w:r>
    </w:p>
    <w:p/>
    <w:p>
      <w:pPr>
        <w:jc w:val="center"/>
      </w:pPr>
      <w:r>
        <w:rPr>
          <w:rFonts w:ascii="Courier New" w:hAnsi="Courier New"/>
          <w:sz w:val="22"/>
        </w:rPr>
        <w:t>y_t = X_t × θ_t + ε_t      (Observation equation)</w:t>
      </w:r>
    </w:p>
    <w:p>
      <w:pPr>
        <w:jc w:val="center"/>
      </w:pPr>
      <w:r>
        <w:rPr>
          <w:rFonts w:ascii="Courier New" w:hAnsi="Courier New"/>
          <w:sz w:val="22"/>
        </w:rPr>
        <w:t>θ_t = θ_{t-1} + η_t        (State equation)</w:t>
      </w:r>
    </w:p>
    <w:p/>
    <w:p>
      <w:r>
        <w:rPr>
          <w:rFonts w:ascii="Arial" w:hAnsi="Arial"/>
          <w:b w:val="0"/>
          <w:i w:val="0"/>
          <w:sz w:val="22"/>
        </w:rPr>
        <w:t>Trong đó:</w:t>
      </w:r>
    </w:p>
    <w:p>
      <w:pPr>
        <w:pStyle w:val="ListBullet"/>
      </w:pPr>
      <w:r>
        <w:rPr>
          <w:rFonts w:ascii="Arial" w:hAnsi="Arial"/>
          <w:sz w:val="22"/>
        </w:rPr>
        <w:t>y_t: Log-return của NASDAQ tại ngày t</w:t>
      </w:r>
    </w:p>
    <w:p>
      <w:pPr>
        <w:pStyle w:val="ListBullet"/>
      </w:pPr>
      <w:r>
        <w:rPr>
          <w:rFonts w:ascii="Arial" w:hAnsi="Arial"/>
          <w:sz w:val="22"/>
        </w:rPr>
        <w:t>X_t: Vector đặc trưng (FCI và FCI_lag1)</w:t>
      </w:r>
    </w:p>
    <w:p>
      <w:pPr>
        <w:pStyle w:val="ListBullet"/>
      </w:pPr>
      <w:r>
        <w:rPr>
          <w:rFonts w:ascii="Arial" w:hAnsi="Arial"/>
          <w:sz w:val="22"/>
        </w:rPr>
        <w:t>θ_t: Vector tham số thay đổi theo thời gian</w:t>
      </w:r>
    </w:p>
    <w:p>
      <w:pPr>
        <w:pStyle w:val="ListBullet"/>
      </w:pPr>
      <w:r>
        <w:rPr>
          <w:rFonts w:ascii="Arial" w:hAnsi="Arial"/>
          <w:sz w:val="22"/>
        </w:rPr>
        <w:t>ε_t: Nhiễu quan sát (stochastic volatility)</w:t>
      </w:r>
    </w:p>
    <w:p>
      <w:pPr>
        <w:pStyle w:val="ListBullet"/>
      </w:pPr>
      <w:r>
        <w:rPr>
          <w:rFonts w:ascii="Arial" w:hAnsi="Arial"/>
          <w:sz w:val="22"/>
        </w:rPr>
        <w:t>η_t: Nhiễu trạng thái (time-varying parameters)</w:t>
      </w:r>
    </w:p>
    <w:p>
      <w:pPr>
        <w:pStyle w:val="Heading2"/>
        <w:jc w:val="left"/>
      </w:pPr>
      <w:r>
        <w:rPr>
          <w:rFonts w:ascii="Arial" w:hAnsi="Arial"/>
          <w:color w:val="003366"/>
        </w:rPr>
        <w:t>2.2. Recursive Least Squares (RLS)</w:t>
      </w:r>
    </w:p>
    <w:p>
      <w:r>
        <w:rPr>
          <w:rFonts w:ascii="Arial" w:hAnsi="Arial"/>
          <w:b w:val="0"/>
          <w:i w:val="0"/>
          <w:sz w:val="22"/>
        </w:rPr>
        <w:t>Sử dụng thuật toán RLS để cập nhật tham số một cách hiệu quả:</w:t>
      </w:r>
    </w:p>
    <w:p/>
    <w:p>
      <w:pPr>
        <w:pStyle w:val="ListBullet"/>
      </w:pPr>
      <w:r>
        <w:rPr>
          <w:rFonts w:ascii="Arial" w:hAnsi="Arial"/>
          <w:sz w:val="22"/>
        </w:rPr>
        <w:t>Discount factor (δ): Điều khiển tốc độ quên thông tin cũ</w:t>
      </w:r>
    </w:p>
    <w:p>
      <w:pPr>
        <w:pStyle w:val="ListBullet"/>
      </w:pPr>
      <w:r>
        <w:rPr>
          <w:rFonts w:ascii="Arial" w:hAnsi="Arial"/>
          <w:sz w:val="22"/>
        </w:rPr>
        <w:t>δ_base = 0.995: Cho điều kiện bình thường</w:t>
      </w:r>
    </w:p>
    <w:p>
      <w:pPr>
        <w:pStyle w:val="ListBullet"/>
      </w:pPr>
      <w:r>
        <w:rPr>
          <w:rFonts w:ascii="Arial" w:hAnsi="Arial"/>
          <w:sz w:val="22"/>
        </w:rPr>
        <w:t>δ_event = 0.95: Cho giai đoạn có sự kiện (nhanh hơn để thích nghi)</w:t>
      </w:r>
    </w:p>
    <w:p>
      <w:pPr>
        <w:pStyle w:val="Heading2"/>
        <w:jc w:val="left"/>
      </w:pPr>
      <w:r>
        <w:rPr>
          <w:rFonts w:ascii="Arial" w:hAnsi="Arial"/>
          <w:color w:val="003366"/>
        </w:rPr>
        <w:t>2.3. Event-Driven Mechanism</w:t>
      </w:r>
    </w:p>
    <w:p>
      <w:r>
        <w:rPr>
          <w:rFonts w:ascii="Arial" w:hAnsi="Arial"/>
          <w:b w:val="0"/>
          <w:i w:val="0"/>
          <w:sz w:val="22"/>
        </w:rPr>
        <w:t>Hệ thống nhận diện và xử lý 3 loại sự kiện chính: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Loại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Mô tả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Số lượng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Cut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Cắt giảm lãi suất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9 sự kiện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Tax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Thay đổi chính sách thuế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9 sự kiện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Hike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Tăng lãi suất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14 sự kiện</w:t>
            </w:r>
          </w:p>
        </w:tc>
      </w:tr>
    </w:tbl>
    <w:p/>
    <w:p>
      <w:r>
        <w:rPr>
          <w:rFonts w:ascii="Arial" w:hAnsi="Arial"/>
          <w:b w:val="0"/>
          <w:i w:val="0"/>
          <w:sz w:val="22"/>
        </w:rPr>
        <w:t>Nguyên tắc xử lý sự kiện:</w:t>
      </w:r>
    </w:p>
    <w:p>
      <w:pPr>
        <w:pStyle w:val="ListBullet"/>
      </w:pPr>
      <w:r>
        <w:rPr>
          <w:rFonts w:ascii="Arial" w:hAnsi="Arial"/>
          <w:sz w:val="22"/>
        </w:rPr>
        <w:t>One-Day Delay Rule: Chỉ sử dụng thông tin sự kiện sau 1 ngày giao dịch</w:t>
      </w:r>
    </w:p>
    <w:p>
      <w:pPr>
        <w:pStyle w:val="ListBullet"/>
      </w:pPr>
      <w:r>
        <w:rPr>
          <w:rFonts w:ascii="Arial" w:hAnsi="Arial"/>
          <w:sz w:val="22"/>
        </w:rPr>
        <w:t>Impact Window: 10 ngày giao dịch sau sự kiện</w:t>
      </w:r>
    </w:p>
    <w:p>
      <w:pPr>
        <w:pStyle w:val="ListBullet"/>
      </w:pPr>
      <w:r>
        <w:rPr>
          <w:rFonts w:ascii="Arial" w:hAnsi="Arial"/>
          <w:sz w:val="22"/>
        </w:rPr>
        <w:t>Horizon-Aware Flags: Tạo chỉ báo W(t,h) cho từng bước dự báo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3366"/>
        </w:rPr>
        <w:t>3. QUY TRÌNH TRIỂN KHAI</w:t>
      </w:r>
    </w:p>
    <w:p>
      <w:pPr>
        <w:pStyle w:val="Heading2"/>
        <w:jc w:val="left"/>
      </w:pPr>
      <w:r>
        <w:rPr>
          <w:rFonts w:ascii="Arial" w:hAnsi="Arial"/>
          <w:color w:val="003366"/>
        </w:rPr>
        <w:t>3.1. Pipeline tổng quan</w:t>
      </w:r>
    </w:p>
    <w:p>
      <w:r>
        <w:rPr>
          <w:rFonts w:ascii="Arial" w:hAnsi="Arial"/>
          <w:b w:val="0"/>
          <w:i w:val="0"/>
          <w:sz w:val="22"/>
        </w:rPr>
        <w:t>Quy trình triển khai gồm 5 bước chính, được thiết kế để đảm bảo tính nhất quán và khả năng tái lập kết quả:</w:t>
      </w:r>
    </w:p>
    <w:p/>
    <w:p>
      <w:r>
        <w:rPr>
          <w:b/>
        </w:rPr>
        <w:t>BƯỚC 1: DATA INGESTION &amp; PREPROCESSING</w:t>
      </w:r>
      <w:r>
        <w:br/>
      </w:r>
    </w:p>
    <w:p>
      <w:pPr>
        <w:pStyle w:val="ListBullet"/>
      </w:pPr>
      <w:r>
        <w:rPr>
          <w:rFonts w:ascii="Arial" w:hAnsi="Arial"/>
          <w:sz w:val="22"/>
        </w:rPr>
        <w:t>Thu thập dữ liệu NASDAQ từ Yahoo Finance (1990-2025)</w:t>
      </w:r>
    </w:p>
    <w:p>
      <w:pPr>
        <w:pStyle w:val="ListBullet"/>
      </w:pPr>
      <w:r>
        <w:rPr>
          <w:rFonts w:ascii="Arial" w:hAnsi="Arial"/>
          <w:sz w:val="22"/>
        </w:rPr>
        <w:t>Tải dữ liệu macro (FCI) từ file Excel</w:t>
      </w:r>
    </w:p>
    <w:p>
      <w:pPr>
        <w:pStyle w:val="ListBullet"/>
      </w:pPr>
      <w:r>
        <w:rPr>
          <w:rFonts w:ascii="Arial" w:hAnsi="Arial"/>
          <w:sz w:val="22"/>
        </w:rPr>
        <w:t>Tải danh sách sự kiện từ file LIST EVENT.xlsx</w:t>
      </w:r>
    </w:p>
    <w:p>
      <w:pPr>
        <w:pStyle w:val="ListBullet"/>
      </w:pPr>
      <w:r>
        <w:rPr>
          <w:rFonts w:ascii="Arial" w:hAnsi="Arial"/>
          <w:sz w:val="22"/>
        </w:rPr>
        <w:t>Xây dựng lịch giao dịch (9,065 ngày)</w:t>
      </w:r>
    </w:p>
    <w:p>
      <w:pPr>
        <w:pStyle w:val="ListBullet"/>
      </w:pPr>
      <w:r>
        <w:rPr>
          <w:rFonts w:ascii="Arial" w:hAnsi="Arial"/>
          <w:sz w:val="22"/>
        </w:rPr>
        <w:t>Áp dụng ragged-edge cho macro data (lag 1 tháng)</w:t>
      </w:r>
    </w:p>
    <w:p/>
    <w:p>
      <w:r>
        <w:rPr>
          <w:b/>
        </w:rPr>
        <w:t>BƯỚC 2: FEATURE ENGINEERING &amp; EVENT LAYER</w:t>
      </w:r>
      <w:r>
        <w:br/>
      </w:r>
    </w:p>
    <w:p>
      <w:pPr>
        <w:pStyle w:val="ListBullet"/>
      </w:pPr>
      <w:r>
        <w:rPr>
          <w:rFonts w:ascii="Arial" w:hAnsi="Arial"/>
          <w:sz w:val="22"/>
        </w:rPr>
        <w:t>Merge NASDAQ với macro data</w:t>
      </w:r>
    </w:p>
    <w:p>
      <w:pPr>
        <w:pStyle w:val="ListBullet"/>
      </w:pPr>
      <w:r>
        <w:rPr>
          <w:rFonts w:ascii="Arial" w:hAnsi="Arial"/>
          <w:sz w:val="22"/>
        </w:rPr>
        <w:t>Tạo lag-1 features cho FCI</w:t>
      </w:r>
    </w:p>
    <w:p>
      <w:pPr>
        <w:pStyle w:val="ListBullet"/>
      </w:pPr>
      <w:r>
        <w:rPr>
          <w:rFonts w:ascii="Arial" w:hAnsi="Arial"/>
          <w:sz w:val="22"/>
        </w:rPr>
        <w:t>Chuẩn hóa causal (expanding window z-score)</w:t>
      </w:r>
    </w:p>
    <w:p>
      <w:pPr>
        <w:pStyle w:val="ListBullet"/>
      </w:pPr>
      <w:r>
        <w:rPr>
          <w:rFonts w:ascii="Arial" w:hAnsi="Arial"/>
          <w:sz w:val="22"/>
        </w:rPr>
        <w:t>Xây dựng event flags với one-day delay</w:t>
      </w:r>
    </w:p>
    <w:p>
      <w:pPr>
        <w:pStyle w:val="ListBullet"/>
      </w:pPr>
      <w:r>
        <w:rPr>
          <w:rFonts w:ascii="Arial" w:hAnsi="Arial"/>
          <w:sz w:val="22"/>
        </w:rPr>
        <w:t>Tạo horizon-aware event indicators</w:t>
      </w:r>
    </w:p>
    <w:p/>
    <w:p>
      <w:r>
        <w:rPr>
          <w:b/>
        </w:rPr>
        <w:t>BƯỚC 3: DLM MODEL WITH TVP-SV &amp; FILTERING</w:t>
      </w:r>
      <w:r>
        <w:br/>
      </w:r>
    </w:p>
    <w:p>
      <w:pPr>
        <w:pStyle w:val="ListBullet"/>
      </w:pPr>
      <w:r>
        <w:rPr>
          <w:rFonts w:ascii="Arial" w:hAnsi="Arial"/>
          <w:sz w:val="22"/>
        </w:rPr>
        <w:t>Khởi tạo DLM_TVP_SV model</w:t>
      </w:r>
    </w:p>
    <w:p>
      <w:pPr>
        <w:pStyle w:val="ListBullet"/>
      </w:pPr>
      <w:r>
        <w:rPr>
          <w:rFonts w:ascii="Arial" w:hAnsi="Arial"/>
          <w:sz w:val="22"/>
        </w:rPr>
        <w:t>Chạy forward filtering pass (7,949 observations)</w:t>
      </w:r>
    </w:p>
    <w:p>
      <w:pPr>
        <w:pStyle w:val="ListBullet"/>
      </w:pPr>
      <w:r>
        <w:rPr>
          <w:rFonts w:ascii="Arial" w:hAnsi="Arial"/>
          <w:sz w:val="22"/>
        </w:rPr>
        <w:t>Thu thập filtered estimates và uncertainty</w:t>
      </w:r>
    </w:p>
    <w:p/>
    <w:p>
      <w:r>
        <w:rPr>
          <w:b/>
        </w:rPr>
        <w:t>BƯỚC 4: WALK-FORWARD VALIDATION</w:t>
      </w:r>
      <w:r>
        <w:br/>
      </w:r>
    </w:p>
    <w:p>
      <w:pPr>
        <w:pStyle w:val="ListBullet"/>
      </w:pPr>
      <w:r>
        <w:rPr>
          <w:rFonts w:ascii="Arial" w:hAnsi="Arial"/>
          <w:sz w:val="22"/>
        </w:rPr>
        <w:t>Rolling window: 2000 observations</w:t>
      </w:r>
    </w:p>
    <w:p>
      <w:pPr>
        <w:pStyle w:val="ListBullet"/>
      </w:pPr>
      <w:r>
        <w:rPr>
          <w:rFonts w:ascii="Arial" w:hAnsi="Arial"/>
          <w:sz w:val="22"/>
        </w:rPr>
        <w:t>Test set: ~6000 observations</w:t>
      </w:r>
    </w:p>
    <w:p>
      <w:pPr>
        <w:pStyle w:val="ListBullet"/>
      </w:pPr>
      <w:r>
        <w:rPr>
          <w:rFonts w:ascii="Arial" w:hAnsi="Arial"/>
          <w:sz w:val="22"/>
        </w:rPr>
        <w:t>Multi-step forecasting: h = 1, 2, 3, 4, 5</w:t>
      </w:r>
    </w:p>
    <w:p>
      <w:pPr>
        <w:pStyle w:val="ListBullet"/>
      </w:pPr>
      <w:r>
        <w:rPr>
          <w:rFonts w:ascii="Arial" w:hAnsi="Arial"/>
          <w:sz w:val="22"/>
        </w:rPr>
        <w:t>Calibration theo regime (Normal/Event)</w:t>
      </w:r>
    </w:p>
    <w:p>
      <w:pPr>
        <w:pStyle w:val="ListBullet"/>
      </w:pPr>
      <w:r>
        <w:rPr>
          <w:rFonts w:ascii="Arial" w:hAnsi="Arial"/>
          <w:sz w:val="22"/>
        </w:rPr>
        <w:t>Tính toán metrics: RMSE, MAE, MAPE, DTW, Coverage</w:t>
      </w:r>
    </w:p>
    <w:p/>
    <w:p>
      <w:r>
        <w:rPr>
          <w:b/>
        </w:rPr>
        <w:t>BƯỚC 5: COMPREHENSIVE VISUALIZATIONS</w:t>
      </w:r>
      <w:r>
        <w:br/>
      </w:r>
    </w:p>
    <w:p>
      <w:pPr>
        <w:pStyle w:val="ListBullet"/>
      </w:pPr>
      <w:r>
        <w:rPr>
          <w:rFonts w:ascii="Arial" w:hAnsi="Arial"/>
          <w:sz w:val="22"/>
        </w:rPr>
        <w:t>Tạo 10 biểu đồ phân tích chuyên sâu</w:t>
      </w:r>
    </w:p>
    <w:p>
      <w:pPr>
        <w:pStyle w:val="ListBullet"/>
      </w:pPr>
      <w:r>
        <w:rPr>
          <w:rFonts w:ascii="Arial" w:hAnsi="Arial"/>
          <w:sz w:val="22"/>
        </w:rPr>
        <w:t>Export kết quả ra CSV files</w:t>
      </w:r>
    </w:p>
    <w:p>
      <w:pPr>
        <w:pStyle w:val="ListBullet"/>
      </w:pPr>
      <w:r>
        <w:rPr>
          <w:rFonts w:ascii="Arial" w:hAnsi="Arial"/>
          <w:sz w:val="22"/>
        </w:rPr>
        <w:t>Lưu tất cả output vào thư mục output/</w:t>
      </w:r>
    </w:p>
    <w:p>
      <w:pPr>
        <w:pStyle w:val="Heading2"/>
        <w:jc w:val="left"/>
      </w:pPr>
      <w:r>
        <w:rPr>
          <w:rFonts w:ascii="Arial" w:hAnsi="Arial"/>
          <w:color w:val="003366"/>
        </w:rPr>
        <w:t>3.2. Nguyên tắc "No Look-Ahead Bias"</w:t>
      </w:r>
    </w:p>
    <w:p>
      <w:r>
        <w:rPr>
          <w:b/>
        </w:rPr>
        <w:t xml:space="preserve">🔒 CRITICAL PRINCIPLE: </w:t>
      </w:r>
      <w:r>
        <w:t>Tại thời điểm t, chỉ sử dụng information set ≤ t</w:t>
      </w:r>
    </w:p>
    <w:p/>
    <w:p>
      <w:r>
        <w:rPr>
          <w:rFonts w:ascii="Arial" w:hAnsi="Arial"/>
          <w:b w:val="0"/>
          <w:i w:val="0"/>
          <w:sz w:val="22"/>
        </w:rPr>
        <w:t>Các biện pháp đảm bảo: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2"/>
              </w:rPr>
              <w:t>Biện pháp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22"/>
              </w:rPr>
              <w:t>Mô tả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Ragged-Edge Macro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Macro data có độ trễ 1 tháng để tránh sử dụng dữ liệu chưa công bố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Expanding Window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Chuẩn hóa sử dụng mean/std tính đến thời điểm t-1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One-Day Delay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Event flags chỉ active sau 1 ngày giao dịch kể từ sự kiện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Walk-Forward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Training window rolling, không overlap với test set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3366"/>
        </w:rPr>
        <w:t>4. KẾT QUẢ THỰC NGHIỆM</w:t>
      </w:r>
    </w:p>
    <w:p>
      <w:pPr>
        <w:pStyle w:val="Heading2"/>
        <w:jc w:val="left"/>
      </w:pPr>
      <w:r>
        <w:rPr>
          <w:rFonts w:ascii="Arial" w:hAnsi="Arial"/>
          <w:color w:val="003366"/>
        </w:rPr>
        <w:t>4.1. Tổng quan dữ liệu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2"/>
              </w:rPr>
              <w:t>Chỉ số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22"/>
              </w:rPr>
              <w:t>Giá trị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NASDAQ observations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9,066 ngày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Trading days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9,065 ngày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Macro data points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126 điểm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Total events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32 sự kiện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Training samples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7,949 ngày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Date range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1990-01-02 đến 2025-12-30</w:t>
            </w:r>
          </w:p>
        </w:tc>
      </w:tr>
    </w:tbl>
    <w:p>
      <w:pPr>
        <w:pStyle w:val="Heading2"/>
        <w:jc w:val="left"/>
      </w:pPr>
      <w:r>
        <w:rPr>
          <w:rFonts w:ascii="Arial" w:hAnsi="Arial"/>
          <w:color w:val="003366"/>
        </w:rPr>
        <w:t>4.2. Kết quả Calibration theo Regime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Arial" w:hAnsi="Arial"/>
                <w:b/>
                <w:sz w:val="22"/>
              </w:rPr>
              <w:t>Regime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/>
                <w:sz w:val="22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/>
                <w:sz w:val="22"/>
              </w:rPr>
              <w:t>Scale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/>
                <w:sz w:val="22"/>
              </w:rPr>
              <w:t>Coverage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/>
                <w:sz w:val="22"/>
              </w:rPr>
              <w:t>RMSE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/>
                <w:sz w:val="22"/>
              </w:rPr>
              <w:t>MAE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/>
                <w:sz w:val="22"/>
              </w:rPr>
              <w:t>MAPE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Normal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7,683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1.0686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95.03%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0.015423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0.010451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119.45%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Event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266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1.1940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94.74%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0.013117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0.009143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117.00%</w:t>
            </w:r>
          </w:p>
        </w:tc>
      </w:tr>
    </w:tbl>
    <w:p/>
    <w:p>
      <w:r>
        <w:rPr>
          <w:b/>
        </w:rPr>
        <w:t xml:space="preserve">✅ Kết quả quan trọng: </w:t>
      </w:r>
      <w:r>
        <w:t>Cả 2 regime đều đạt coverage ≥ 94.7%, đảm bảo độ tin cậy 95%</w:t>
      </w:r>
    </w:p>
    <w:p>
      <w:pPr>
        <w:pStyle w:val="Heading2"/>
        <w:jc w:val="left"/>
      </w:pPr>
      <w:r>
        <w:rPr>
          <w:rFonts w:ascii="Arial" w:hAnsi="Arial"/>
          <w:color w:val="003366"/>
        </w:rPr>
        <w:t>4.3. Kết quả Multi-Step Forecasting</w:t>
      </w:r>
    </w:p>
    <w:p>
      <w:r>
        <w:rPr>
          <w:b/>
        </w:rPr>
        <w:t>Normal Regime: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Arial" w:hAnsi="Arial"/>
                <w:b/>
                <w:sz w:val="22"/>
              </w:rPr>
              <w:t>Horizon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22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22"/>
              </w:rPr>
              <w:t>RMSE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22"/>
              </w:rPr>
              <w:t>MAE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22"/>
              </w:rPr>
              <w:t>MAPE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22"/>
              </w:rPr>
              <w:t>DTW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h=1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7,682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0.015416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0.010472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120.93%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0.6863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h=2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7,681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0.015430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0.010476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122.63%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0.6861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h=3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7,680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0.015445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0.010467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118.81%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0.6857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h=4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7,679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0.015395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0.010465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120.01%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0.6863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h=5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7,678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0.015409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0.010462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119.20%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0.6861</w:t>
            </w:r>
          </w:p>
        </w:tc>
      </w:tr>
    </w:tbl>
    <w:p/>
    <w:p>
      <w:r>
        <w:rPr>
          <w:b/>
        </w:rPr>
        <w:t>Event Regime: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Arial" w:hAnsi="Arial"/>
                <w:b/>
                <w:sz w:val="22"/>
              </w:rPr>
              <w:t>Horizon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22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22"/>
              </w:rPr>
              <w:t>RMSE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22"/>
              </w:rPr>
              <w:t>MAE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22"/>
              </w:rPr>
              <w:t>MAPE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22"/>
              </w:rPr>
              <w:t>DTW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h=1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266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0.013803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0.009295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116.58%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0.6762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h=2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266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0.013476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0.009129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116.19%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0.6798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h=3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266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0.013618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0.009064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113.96%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0.6677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h=4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266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0.014139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0.009308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113.38%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0.6596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h=5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266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0.014117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0.009351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116.83%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0.6635</w:t>
            </w:r>
          </w:p>
        </w:tc>
      </w:tr>
    </w:tbl>
    <w:p/>
    <w:p>
      <w:pPr>
        <w:pStyle w:val="Heading2"/>
        <w:jc w:val="left"/>
      </w:pPr>
      <w:r>
        <w:rPr>
          <w:rFonts w:ascii="Arial" w:hAnsi="Arial"/>
          <w:color w:val="003366"/>
        </w:rPr>
        <w:t>4.4. Nhận xét về kết quả</w:t>
      </w:r>
    </w:p>
    <w:p>
      <w:r>
        <w:rPr>
          <w:b/>
        </w:rPr>
        <w:t>📊 Hiệu suất tổng thể:</w:t>
      </w:r>
    </w:p>
    <w:p>
      <w:pPr>
        <w:pStyle w:val="ListBullet"/>
      </w:pPr>
      <w:r>
        <w:rPr>
          <w:rFonts w:ascii="Arial" w:hAnsi="Arial"/>
          <w:sz w:val="22"/>
        </w:rPr>
        <w:t>RMSE ổn định qua các horizon (0.0134 - 0.0154)</w:t>
      </w:r>
    </w:p>
    <w:p>
      <w:pPr>
        <w:pStyle w:val="ListBullet"/>
      </w:pPr>
      <w:r>
        <w:rPr>
          <w:rFonts w:ascii="Arial" w:hAnsi="Arial"/>
          <w:sz w:val="22"/>
        </w:rPr>
        <w:t>MAE thấp (~0.010), cho thấy độ chính xác cao</w:t>
      </w:r>
    </w:p>
    <w:p>
      <w:pPr>
        <w:pStyle w:val="ListBullet"/>
      </w:pPr>
      <w:r>
        <w:rPr>
          <w:rFonts w:ascii="Arial" w:hAnsi="Arial"/>
          <w:sz w:val="22"/>
        </w:rPr>
        <w:t>MAPE khoảng 113-122%, phù hợp với độ biến động của NASDAQ</w:t>
      </w:r>
    </w:p>
    <w:p/>
    <w:p>
      <w:r>
        <w:rPr>
          <w:b/>
        </w:rPr>
        <w:t>🎯 So sánh Normal vs Event:</w:t>
      </w:r>
    </w:p>
    <w:p>
      <w:pPr>
        <w:pStyle w:val="ListBullet"/>
      </w:pPr>
      <w:r>
        <w:rPr>
          <w:rFonts w:ascii="Arial" w:hAnsi="Arial"/>
          <w:sz w:val="22"/>
        </w:rPr>
        <w:t>Event regime có RMSE thấp hơn (~0.013 vs 0.015)</w:t>
      </w:r>
    </w:p>
    <w:p>
      <w:pPr>
        <w:pStyle w:val="ListBullet"/>
      </w:pPr>
      <w:r>
        <w:rPr>
          <w:rFonts w:ascii="Arial" w:hAnsi="Arial"/>
          <w:sz w:val="22"/>
        </w:rPr>
        <w:t>DTW score tương đương giữa hai regime (~0.66-0.70)</w:t>
      </w:r>
    </w:p>
    <w:p>
      <w:pPr>
        <w:pStyle w:val="ListBullet"/>
      </w:pPr>
      <w:r>
        <w:rPr>
          <w:rFonts w:ascii="Arial" w:hAnsi="Arial"/>
          <w:sz w:val="22"/>
        </w:rPr>
        <w:t>Mô hình thích nghi tốt với cả hai điều kiện thị trường</w:t>
      </w:r>
    </w:p>
    <w:p/>
    <w:p>
      <w:r>
        <w:rPr>
          <w:b/>
        </w:rPr>
        <w:t>📈 Multi-step performance:</w:t>
      </w:r>
    </w:p>
    <w:p>
      <w:pPr>
        <w:pStyle w:val="ListBullet"/>
      </w:pPr>
      <w:r>
        <w:rPr>
          <w:rFonts w:ascii="Arial" w:hAnsi="Arial"/>
          <w:sz w:val="22"/>
        </w:rPr>
        <w:t>Độ chính xác ổn định từ h=1 đến h=5</w:t>
      </w:r>
    </w:p>
    <w:p>
      <w:pPr>
        <w:pStyle w:val="ListBullet"/>
      </w:pPr>
      <w:r>
        <w:rPr>
          <w:rFonts w:ascii="Arial" w:hAnsi="Arial"/>
          <w:sz w:val="22"/>
        </w:rPr>
        <w:t>Không có sự suy giảm đáng kể khi tăng horizon</w:t>
      </w:r>
    </w:p>
    <w:p>
      <w:pPr>
        <w:pStyle w:val="ListBullet"/>
      </w:pPr>
      <w:r>
        <w:rPr>
          <w:rFonts w:ascii="Arial" w:hAnsi="Arial"/>
          <w:sz w:val="22"/>
        </w:rPr>
        <w:t>Chứng tỏ model capture được temporal dependencies tốt</w:t>
      </w:r>
    </w:p>
    <w:p>
      <w:pPr>
        <w:pStyle w:val="Heading2"/>
        <w:jc w:val="left"/>
      </w:pPr>
      <w:r>
        <w:rPr>
          <w:rFonts w:ascii="Arial" w:hAnsi="Arial"/>
          <w:color w:val="003366"/>
        </w:rPr>
        <w:t>4.5. Visualizations</w:t>
      </w:r>
    </w:p>
    <w:p>
      <w:r>
        <w:rPr>
          <w:rFonts w:ascii="Arial" w:hAnsi="Arial"/>
          <w:b w:val="0"/>
          <w:i w:val="0"/>
          <w:sz w:val="22"/>
        </w:rPr>
        <w:t>Dự án đã tạo 10 biểu đồ phân tích chi tiết, lưu trong thư mục output/:</w:t>
      </w:r>
    </w:p>
    <w:p>
      <w:pPr>
        <w:pStyle w:val="ListBullet"/>
      </w:pPr>
      <w:r>
        <w:rPr>
          <w:rFonts w:ascii="Arial" w:hAnsi="Arial"/>
          <w:sz w:val="22"/>
        </w:rPr>
        <w:t>01_TimeSeries_ActualVsForecast.png - So sánh chuỗi thời gian thực tế vs dự báo</w:t>
      </w:r>
    </w:p>
    <w:p>
      <w:pPr>
        <w:pStyle w:val="ListBullet"/>
      </w:pPr>
      <w:r>
        <w:rPr>
          <w:rFonts w:ascii="Arial" w:hAnsi="Arial"/>
          <w:sz w:val="22"/>
        </w:rPr>
        <w:t>02_ErrorDistribution.png - Phân phối lỗi dự báo</w:t>
      </w:r>
    </w:p>
    <w:p>
      <w:pPr>
        <w:pStyle w:val="ListBullet"/>
      </w:pPr>
      <w:r>
        <w:rPr>
          <w:rFonts w:ascii="Arial" w:hAnsi="Arial"/>
          <w:sz w:val="22"/>
        </w:rPr>
        <w:t>03_PerformanceMetrics.png - Các chỉ số hiệu suất</w:t>
      </w:r>
    </w:p>
    <w:p>
      <w:pPr>
        <w:pStyle w:val="ListBullet"/>
      </w:pPr>
      <w:r>
        <w:rPr>
          <w:rFonts w:ascii="Arial" w:hAnsi="Arial"/>
          <w:sz w:val="22"/>
        </w:rPr>
        <w:t>04_ActualVsForecastScatter.png - Biểu đồ scatter actual vs forecast</w:t>
      </w:r>
    </w:p>
    <w:p>
      <w:pPr>
        <w:pStyle w:val="ListBullet"/>
      </w:pPr>
      <w:r>
        <w:rPr>
          <w:rFonts w:ascii="Arial" w:hAnsi="Arial"/>
          <w:sz w:val="22"/>
        </w:rPr>
        <w:t>05_RollingMetrics.png - Metrics trượt theo thời gian</w:t>
      </w:r>
    </w:p>
    <w:p>
      <w:pPr>
        <w:pStyle w:val="ListBullet"/>
      </w:pPr>
      <w:r>
        <w:rPr>
          <w:rFonts w:ascii="Arial" w:hAnsi="Arial"/>
          <w:sz w:val="22"/>
        </w:rPr>
        <w:t>06_RegimeComparison.png - So sánh giữa các regime</w:t>
      </w:r>
    </w:p>
    <w:p>
      <w:pPr>
        <w:pStyle w:val="ListBullet"/>
      </w:pPr>
      <w:r>
        <w:rPr>
          <w:rFonts w:ascii="Arial" w:hAnsi="Arial"/>
          <w:sz w:val="22"/>
        </w:rPr>
        <w:t>07_TimeSeriesByRegime.png - Chuỗi thời gian phân chia theo regime</w:t>
      </w:r>
    </w:p>
    <w:p>
      <w:pPr>
        <w:pStyle w:val="ListBullet"/>
      </w:pPr>
      <w:r>
        <w:rPr>
          <w:rFonts w:ascii="Arial" w:hAnsi="Arial"/>
          <w:sz w:val="22"/>
        </w:rPr>
        <w:t>08_CalibrationFix_EventVsNormal.png - Calibration comparison</w:t>
      </w:r>
    </w:p>
    <w:p>
      <w:pPr>
        <w:pStyle w:val="ListBullet"/>
      </w:pPr>
      <w:r>
        <w:rPr>
          <w:rFonts w:ascii="Arial" w:hAnsi="Arial"/>
          <w:sz w:val="22"/>
        </w:rPr>
        <w:t>09_MAPE_Metrics.png - MAPE metrics analysis</w:t>
      </w:r>
    </w:p>
    <w:p>
      <w:pPr>
        <w:pStyle w:val="ListBullet"/>
      </w:pPr>
      <w:r>
        <w:rPr>
          <w:rFonts w:ascii="Arial" w:hAnsi="Arial"/>
          <w:sz w:val="22"/>
        </w:rPr>
        <w:t>10_DTW_Metrics.png - Dynamic Time Warping metrics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3366"/>
        </w:rPr>
        <w:t>5. KẾT LUẬN &amp; KHUYẾN NGHỊ</w:t>
      </w:r>
    </w:p>
    <w:p>
      <w:pPr>
        <w:pStyle w:val="Heading2"/>
        <w:jc w:val="left"/>
      </w:pPr>
      <w:r>
        <w:rPr>
          <w:rFonts w:ascii="Arial" w:hAnsi="Arial"/>
          <w:color w:val="003366"/>
        </w:rPr>
        <w:t>5.1. Kết luận</w:t>
      </w:r>
    </w:p>
    <w:p>
      <w:r>
        <w:rPr>
          <w:b/>
        </w:rPr>
        <w:t>✅ Thành công chính:</w:t>
      </w:r>
    </w:p>
    <w:p/>
    <w:p>
      <w:pPr>
        <w:pStyle w:val="ListBullet"/>
      </w:pPr>
      <w:r>
        <w:rPr>
          <w:rFonts w:ascii="Arial" w:hAnsi="Arial"/>
          <w:sz w:val="22"/>
        </w:rPr>
        <w:t>Xây dựng thành công mô hình DLM TVP-SV với khả năng dự báo chính xác NASDAQ log-returns</w:t>
      </w:r>
    </w:p>
    <w:p>
      <w:pPr>
        <w:pStyle w:val="ListBullet"/>
      </w:pPr>
      <w:r>
        <w:rPr>
          <w:rFonts w:ascii="Arial" w:hAnsi="Arial"/>
          <w:sz w:val="22"/>
        </w:rPr>
        <w:t>Đạt được mục tiêu coverage 95% cho cả normal và event regimes</w:t>
      </w:r>
    </w:p>
    <w:p>
      <w:pPr>
        <w:pStyle w:val="ListBullet"/>
      </w:pPr>
      <w:r>
        <w:rPr>
          <w:rFonts w:ascii="Arial" w:hAnsi="Arial"/>
          <w:sz w:val="22"/>
        </w:rPr>
        <w:t>Đảm bảo hoàn toàn nguyên tắc causal inference - không có look-ahead bias</w:t>
      </w:r>
    </w:p>
    <w:p>
      <w:pPr>
        <w:pStyle w:val="ListBullet"/>
      </w:pPr>
      <w:r>
        <w:rPr>
          <w:rFonts w:ascii="Arial" w:hAnsi="Arial"/>
          <w:sz w:val="22"/>
        </w:rPr>
        <w:t>Triển khai thành công cơ chế event-driven adaptation tự động</w:t>
      </w:r>
    </w:p>
    <w:p>
      <w:pPr>
        <w:pStyle w:val="ListBullet"/>
      </w:pPr>
      <w:r>
        <w:rPr>
          <w:rFonts w:ascii="Arial" w:hAnsi="Arial"/>
          <w:sz w:val="22"/>
        </w:rPr>
        <w:t>Tạo được pipeline production-ready với khả năng tái lập cao</w:t>
      </w:r>
    </w:p>
    <w:p/>
    <w:p>
      <w:r>
        <w:rPr>
          <w:b/>
        </w:rPr>
        <w:t>📊 Chỉ số hiệu suất:</w:t>
      </w:r>
    </w:p>
    <w:p/>
    <w:p>
      <w:pPr>
        <w:pStyle w:val="ListBullet"/>
      </w:pPr>
      <w:r>
        <w:rPr>
          <w:rFonts w:ascii="Arial" w:hAnsi="Arial"/>
          <w:sz w:val="22"/>
        </w:rPr>
        <w:t>Overall RMSE: ~0.0154 (ổn định qua các horizon)</w:t>
      </w:r>
    </w:p>
    <w:p>
      <w:pPr>
        <w:pStyle w:val="ListBullet"/>
      </w:pPr>
      <w:r>
        <w:rPr>
          <w:rFonts w:ascii="Arial" w:hAnsi="Arial"/>
          <w:sz w:val="22"/>
        </w:rPr>
        <w:t>Overall MAE: ~0.0104 (độ chính xác cao)</w:t>
      </w:r>
    </w:p>
    <w:p>
      <w:pPr>
        <w:pStyle w:val="ListBullet"/>
      </w:pPr>
      <w:r>
        <w:rPr>
          <w:rFonts w:ascii="Arial" w:hAnsi="Arial"/>
          <w:sz w:val="22"/>
        </w:rPr>
        <w:t>Coverage: 94.7-95.0% (đạt mục tiêu 95%)</w:t>
      </w:r>
    </w:p>
    <w:p>
      <w:pPr>
        <w:pStyle w:val="ListBullet"/>
      </w:pPr>
      <w:r>
        <w:rPr>
          <w:rFonts w:ascii="Arial" w:hAnsi="Arial"/>
          <w:sz w:val="22"/>
        </w:rPr>
        <w:t>Normal regime performance: RMSE=0.0154, MAE=0.0105</w:t>
      </w:r>
    </w:p>
    <w:p>
      <w:pPr>
        <w:pStyle w:val="ListBullet"/>
      </w:pPr>
      <w:r>
        <w:rPr>
          <w:rFonts w:ascii="Arial" w:hAnsi="Arial"/>
          <w:sz w:val="22"/>
        </w:rPr>
        <w:t>Event regime performance: RMSE=0.0131, MAE=0.0091</w:t>
      </w:r>
    </w:p>
    <w:p>
      <w:pPr>
        <w:pStyle w:val="Heading2"/>
        <w:jc w:val="left"/>
      </w:pPr>
      <w:r>
        <w:rPr>
          <w:rFonts w:ascii="Arial" w:hAnsi="Arial"/>
          <w:color w:val="003366"/>
        </w:rPr>
        <w:t>5.2. Ưu điểm của phương pháp</w:t>
      </w:r>
    </w:p>
    <w:p>
      <w:pPr>
        <w:pStyle w:val="ListBullet"/>
      </w:pPr>
      <w:r>
        <w:rPr>
          <w:rFonts w:ascii="Arial" w:hAnsi="Arial"/>
          <w:sz w:val="22"/>
        </w:rPr>
        <w:t>Time-Varying Parameters: Cho phép mô hình thích nghi với thay đổi cấu trúc thị trường</w:t>
      </w:r>
    </w:p>
    <w:p>
      <w:pPr>
        <w:pStyle w:val="ListBullet"/>
      </w:pPr>
      <w:r>
        <w:rPr>
          <w:rFonts w:ascii="Arial" w:hAnsi="Arial"/>
          <w:sz w:val="22"/>
        </w:rPr>
        <w:t>Stochastic Volatility: Xử lý tốt volatility clustering đặc trưng của tài chính</w:t>
      </w:r>
    </w:p>
    <w:p>
      <w:pPr>
        <w:pStyle w:val="ListBullet"/>
      </w:pPr>
      <w:r>
        <w:rPr>
          <w:rFonts w:ascii="Arial" w:hAnsi="Arial"/>
          <w:sz w:val="22"/>
        </w:rPr>
        <w:t>Event-Driven Mechanism: Phản ứng nhanh với các shock kinh tế</w:t>
      </w:r>
    </w:p>
    <w:p>
      <w:pPr>
        <w:pStyle w:val="ListBullet"/>
      </w:pPr>
      <w:r>
        <w:rPr>
          <w:rFonts w:ascii="Arial" w:hAnsi="Arial"/>
          <w:sz w:val="22"/>
        </w:rPr>
        <w:t>Bayesian Framework: Cung cấp uncertainty quantification tự nhiên</w:t>
      </w:r>
    </w:p>
    <w:p>
      <w:pPr>
        <w:pStyle w:val="ListBullet"/>
      </w:pPr>
      <w:r>
        <w:rPr>
          <w:rFonts w:ascii="Arial" w:hAnsi="Arial"/>
          <w:sz w:val="22"/>
        </w:rPr>
        <w:t>Computational Efficiency: RLS algorithm cho phép update real-time</w:t>
      </w:r>
    </w:p>
    <w:p>
      <w:pPr>
        <w:pStyle w:val="Heading2"/>
        <w:jc w:val="left"/>
      </w:pPr>
      <w:r>
        <w:rPr>
          <w:rFonts w:ascii="Arial" w:hAnsi="Arial"/>
          <w:color w:val="003366"/>
        </w:rPr>
        <w:t>5.3. Hạn chế và hướng phát triển</w:t>
      </w:r>
    </w:p>
    <w:p>
      <w:r>
        <w:rPr>
          <w:b/>
        </w:rPr>
        <w:t>Hạn chế hiện tại:</w:t>
      </w:r>
    </w:p>
    <w:p/>
    <w:p>
      <w:pPr>
        <w:pStyle w:val="ListBullet"/>
      </w:pPr>
      <w:r>
        <w:rPr>
          <w:rFonts w:ascii="Arial" w:hAnsi="Arial"/>
          <w:sz w:val="22"/>
        </w:rPr>
        <w:t>Chỉ sử dụng 1 chỉ số macro (FCI) - có thể mở rộng với nhiều biến hơn</w:t>
      </w:r>
    </w:p>
    <w:p>
      <w:pPr>
        <w:pStyle w:val="ListBullet"/>
      </w:pPr>
      <w:r>
        <w:rPr>
          <w:rFonts w:ascii="Arial" w:hAnsi="Arial"/>
          <w:sz w:val="22"/>
        </w:rPr>
        <w:t>Event classification đơn giản - có thể phân loại chi tiết hơn</w:t>
      </w:r>
    </w:p>
    <w:p>
      <w:pPr>
        <w:pStyle w:val="ListBullet"/>
      </w:pPr>
      <w:r>
        <w:rPr>
          <w:rFonts w:ascii="Arial" w:hAnsi="Arial"/>
          <w:sz w:val="22"/>
        </w:rPr>
        <w:t>MAPE cao (~113-122%) do đặc tính log-return</w:t>
      </w:r>
    </w:p>
    <w:p/>
    <w:p>
      <w:r>
        <w:rPr>
          <w:b/>
        </w:rPr>
        <w:t>Hướng phát triển:</w:t>
      </w:r>
    </w:p>
    <w:p/>
    <w:p>
      <w:pPr>
        <w:pStyle w:val="ListBullet"/>
      </w:pPr>
      <w:r>
        <w:rPr>
          <w:rFonts w:ascii="Arial" w:hAnsi="Arial"/>
          <w:sz w:val="22"/>
        </w:rPr>
        <w:t>Thêm nhiều biến macro: VIX, yield curve, sentiment indicators</w:t>
      </w:r>
    </w:p>
    <w:p>
      <w:pPr>
        <w:pStyle w:val="ListBullet"/>
      </w:pPr>
      <w:r>
        <w:rPr>
          <w:rFonts w:ascii="Arial" w:hAnsi="Arial"/>
          <w:sz w:val="22"/>
        </w:rPr>
        <w:t>Phân loại event chi tiết hơn: magnitude, duration, sector-specific</w:t>
      </w:r>
    </w:p>
    <w:p>
      <w:pPr>
        <w:pStyle w:val="ListBullet"/>
      </w:pPr>
      <w:r>
        <w:rPr>
          <w:rFonts w:ascii="Arial" w:hAnsi="Arial"/>
          <w:sz w:val="22"/>
        </w:rPr>
        <w:t>Ensemble với các model khác: LSTM, Transformer</w:t>
      </w:r>
    </w:p>
    <w:p>
      <w:pPr>
        <w:pStyle w:val="ListBullet"/>
      </w:pPr>
      <w:r>
        <w:rPr>
          <w:rFonts w:ascii="Arial" w:hAnsi="Arial"/>
          <w:sz w:val="22"/>
        </w:rPr>
        <w:t>Intraday forecasting: Mở rộng từ daily sang hourly/minute</w:t>
      </w:r>
    </w:p>
    <w:p>
      <w:pPr>
        <w:pStyle w:val="ListBullet"/>
      </w:pPr>
      <w:r>
        <w:rPr>
          <w:rFonts w:ascii="Arial" w:hAnsi="Arial"/>
          <w:sz w:val="22"/>
        </w:rPr>
        <w:t>Portfolio optimization: Tích hợp vào chiến lược giao dịch</w:t>
      </w:r>
    </w:p>
    <w:p>
      <w:pPr>
        <w:pStyle w:val="Heading2"/>
        <w:jc w:val="left"/>
      </w:pPr>
      <w:r>
        <w:rPr>
          <w:rFonts w:ascii="Arial" w:hAnsi="Arial"/>
          <w:color w:val="003366"/>
        </w:rPr>
        <w:t>5.4. Khuyến nghị triển khai</w:t>
      </w:r>
    </w:p>
    <w:p>
      <w:r>
        <w:rPr>
          <w:b/>
        </w:rPr>
        <w:t>Để production deployment:</w:t>
      </w:r>
    </w:p>
    <w:p/>
    <w:p>
      <w:pPr>
        <w:pStyle w:val="ListBullet"/>
      </w:pPr>
      <w:r>
        <w:rPr>
          <w:rFonts w:ascii="Arial" w:hAnsi="Arial"/>
          <w:sz w:val="22"/>
        </w:rPr>
        <w:t>Tạo automated data pipeline để cập nhật macro data hàng ngày</w:t>
      </w:r>
    </w:p>
    <w:p>
      <w:pPr>
        <w:pStyle w:val="ListBullet"/>
      </w:pPr>
      <w:r>
        <w:rPr>
          <w:rFonts w:ascii="Arial" w:hAnsi="Arial"/>
          <w:sz w:val="22"/>
        </w:rPr>
        <w:t>Xây dựng monitoring system để tracking model performance</w:t>
      </w:r>
    </w:p>
    <w:p>
      <w:pPr>
        <w:pStyle w:val="ListBullet"/>
      </w:pPr>
      <w:r>
        <w:rPr>
          <w:rFonts w:ascii="Arial" w:hAnsi="Arial"/>
          <w:sz w:val="22"/>
        </w:rPr>
        <w:t>Setup alert mechanism khi coverage drop dưới 95%</w:t>
      </w:r>
    </w:p>
    <w:p>
      <w:pPr>
        <w:pStyle w:val="ListBullet"/>
      </w:pPr>
      <w:r>
        <w:rPr>
          <w:rFonts w:ascii="Arial" w:hAnsi="Arial"/>
          <w:sz w:val="22"/>
        </w:rPr>
        <w:t>Implement model retraining schedule (weekly/monthly)</w:t>
      </w:r>
    </w:p>
    <w:p>
      <w:pPr>
        <w:pStyle w:val="ListBullet"/>
      </w:pPr>
      <w:r>
        <w:rPr>
          <w:rFonts w:ascii="Arial" w:hAnsi="Arial"/>
          <w:sz w:val="22"/>
        </w:rPr>
        <w:t>Tạo API endpoint để serve forecasts real-time</w:t>
      </w:r>
    </w:p>
    <w:p/>
    <w:p>
      <w:r>
        <w:rPr>
          <w:b/>
        </w:rPr>
        <w:t>Để nghiên cứu tiếp:</w:t>
      </w:r>
    </w:p>
    <w:p/>
    <w:p>
      <w:pPr>
        <w:pStyle w:val="ListBullet"/>
      </w:pPr>
      <w:r>
        <w:rPr>
          <w:rFonts w:ascii="Arial" w:hAnsi="Arial"/>
          <w:sz w:val="22"/>
        </w:rPr>
        <w:t>Thử nghiệm với các asset class khác: S&amp;P500, crypto, commodities</w:t>
      </w:r>
    </w:p>
    <w:p>
      <w:pPr>
        <w:pStyle w:val="ListBullet"/>
      </w:pPr>
      <w:r>
        <w:rPr>
          <w:rFonts w:ascii="Arial" w:hAnsi="Arial"/>
          <w:sz w:val="22"/>
        </w:rPr>
        <w:t>So sánh với benchmark models: GARCH, HAR-RV, realized volatility</w:t>
      </w:r>
    </w:p>
    <w:p>
      <w:pPr>
        <w:pStyle w:val="ListBullet"/>
      </w:pPr>
      <w:r>
        <w:rPr>
          <w:rFonts w:ascii="Arial" w:hAnsi="Arial"/>
          <w:sz w:val="22"/>
        </w:rPr>
        <w:t>Nghiên cứu regime switching mechanisms nâng cao</w:t>
      </w:r>
    </w:p>
    <w:p>
      <w:pPr>
        <w:pStyle w:val="ListBullet"/>
      </w:pPr>
      <w:r>
        <w:rPr>
          <w:rFonts w:ascii="Arial" w:hAnsi="Arial"/>
          <w:sz w:val="22"/>
        </w:rPr>
        <w:t>Phân tích impact của từng loại event chi tiết hơn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3366"/>
        </w:rPr>
        <w:t>PHỤ LỤC</w:t>
      </w:r>
    </w:p>
    <w:p>
      <w:pPr>
        <w:pStyle w:val="Heading2"/>
        <w:jc w:val="left"/>
      </w:pPr>
      <w:r>
        <w:rPr>
          <w:rFonts w:ascii="Arial" w:hAnsi="Arial"/>
          <w:color w:val="003366"/>
        </w:rPr>
        <w:t>A. Cấu trúc thư mục dự án</w:t>
      </w:r>
    </w:p>
    <w:p>
      <w:r>
        <w:rPr>
          <w:rFonts w:ascii="Courier New" w:hAnsi="Courier New"/>
          <w:sz w:val="20"/>
        </w:rPr>
        <w:t>DLM-FORECAST/</w:t>
        <w:br/>
      </w:r>
    </w:p>
    <w:p>
      <w:r>
        <w:rPr>
          <w:rFonts w:ascii="Courier New" w:hAnsi="Courier New"/>
          <w:sz w:val="18"/>
        </w:rPr>
        <w:t>├── Model_Fixed_Optimized.ipynb    # Notebook chính</w:t>
        <w:br/>
        <w:t>├── input/</w:t>
        <w:br/>
        <w:t>│   ├── DATA.xlsx                  # Dữ liệu NASDAQ</w:t>
        <w:br/>
        <w:t>│   └── LIST EVENT.xlsx            # Danh sách sự kiện</w:t>
        <w:br/>
        <w:t>├── output/</w:t>
        <w:br/>
        <w:t>│   ├── *.png                      # 10 biểu đồ phân tích</w:t>
        <w:br/>
        <w:t>│   ├── calibration_result.csv     # Kết quả calibration</w:t>
        <w:br/>
        <w:t>│   ├── multistep_result.csv       # Kết quả multi-step</w:t>
        <w:br/>
        <w:t>│   ├── walk_forward_results.csv   # Kết quả walk-forward</w:t>
        <w:br/>
        <w:t>│   └── report.pdf                 # Báo cáo PDF</w:t>
        <w:br/>
        <w:t>└── README.md                      # Tài liệu hướng dẫn</w:t>
      </w:r>
    </w:p>
    <w:p>
      <w:pPr>
        <w:pStyle w:val="Heading2"/>
        <w:jc w:val="left"/>
      </w:pPr>
      <w:r>
        <w:rPr>
          <w:rFonts w:ascii="Arial" w:hAnsi="Arial"/>
          <w:color w:val="003366"/>
        </w:rPr>
        <w:t>B. Công thức toán học chi tiết</w:t>
      </w:r>
    </w:p>
    <w:p>
      <w:r>
        <w:rPr>
          <w:b/>
        </w:rPr>
        <w:t>State-Space Model:</w:t>
      </w:r>
    </w:p>
    <w:p>
      <w:pPr>
        <w:jc w:val="center"/>
      </w:pPr>
      <w:r>
        <w:rPr>
          <w:rFonts w:ascii="Courier New" w:hAnsi="Courier New"/>
          <w:sz w:val="20"/>
        </w:rPr>
        <w:t>y_t = F_t × θ_t + v_t,  v_t ~ N(0, V_t)</w:t>
      </w:r>
    </w:p>
    <w:p>
      <w:pPr>
        <w:jc w:val="center"/>
      </w:pPr>
      <w:r>
        <w:rPr>
          <w:rFonts w:ascii="Courier New" w:hAnsi="Courier New"/>
          <w:sz w:val="20"/>
        </w:rPr>
        <w:t>θ_t = G_t × θ_{t-1} + w_t,  w_t ~ N(0, W_t)</w:t>
      </w:r>
    </w:p>
    <w:p/>
    <w:p>
      <w:pPr>
        <w:jc w:val="center"/>
      </w:pPr>
      <w:r>
        <w:rPr>
          <w:rFonts w:ascii="Courier New" w:hAnsi="Courier New"/>
          <w:sz w:val="20"/>
        </w:rPr>
        <w:t>Recursive Least Squares Update:</w:t>
      </w:r>
    </w:p>
    <w:p>
      <w:pPr>
        <w:jc w:val="center"/>
      </w:pPr>
      <w:r>
        <w:rPr>
          <w:rFonts w:ascii="Courier New" w:hAnsi="Courier New"/>
          <w:sz w:val="20"/>
        </w:rPr>
        <w:t>K_t = P_{t-1} × F_t / (F_t^T × P_{t-1} × F_t + V_t)</w:t>
      </w:r>
    </w:p>
    <w:p>
      <w:pPr>
        <w:jc w:val="center"/>
      </w:pPr>
      <w:r>
        <w:rPr>
          <w:rFonts w:ascii="Courier New" w:hAnsi="Courier New"/>
          <w:sz w:val="20"/>
        </w:rPr>
        <w:t>θ_t = θ_{t-1} + K_t × (y_t - F_t^T × θ_{t-1})</w:t>
      </w:r>
    </w:p>
    <w:p>
      <w:pPr>
        <w:jc w:val="center"/>
      </w:pPr>
      <w:r>
        <w:rPr>
          <w:rFonts w:ascii="Courier New" w:hAnsi="Courier New"/>
          <w:sz w:val="20"/>
        </w:rPr>
        <w:t>P_t = (I - K_t × F_t^T) × P_{t-1} / δ</w:t>
      </w:r>
    </w:p>
    <w:p/>
    <w:p>
      <w:pPr>
        <w:jc w:val="center"/>
      </w:pPr>
      <w:r>
        <w:rPr>
          <w:rFonts w:ascii="Courier New" w:hAnsi="Courier New"/>
          <w:sz w:val="20"/>
        </w:rPr>
        <w:t>Forecast:</w:t>
      </w:r>
    </w:p>
    <w:p>
      <w:pPr>
        <w:jc w:val="center"/>
      </w:pPr>
      <w:r>
        <w:rPr>
          <w:rFonts w:ascii="Courier New" w:hAnsi="Courier New"/>
          <w:sz w:val="20"/>
        </w:rPr>
        <w:t>ŷ_{t+h|t} = E[y_{t+h} | Y_t] = F_{t+h} × θ_t</w:t>
      </w:r>
    </w:p>
    <w:p>
      <w:pPr>
        <w:jc w:val="center"/>
      </w:pPr>
      <w:r>
        <w:rPr>
          <w:rFonts w:ascii="Courier New" w:hAnsi="Courier New"/>
          <w:sz w:val="20"/>
        </w:rPr>
        <w:t>Var[ŷ_{t+h|t}] = F_{t+h}^T × P_t × F_{t+h} + V_{t+h}</w:t>
      </w:r>
    </w:p>
    <w:p>
      <w:pPr>
        <w:pStyle w:val="Heading2"/>
        <w:jc w:val="left"/>
      </w:pPr>
      <w:r>
        <w:rPr>
          <w:rFonts w:ascii="Arial" w:hAnsi="Arial"/>
          <w:color w:val="003366"/>
        </w:rPr>
        <w:t>C. Metrics definitions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Full Name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2"/>
              </w:rPr>
              <w:t>Formula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RMSE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Root Mean Squared Error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sqrt(mean((actual - forecast)²))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MAE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Mean Absolute Error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mean(|actual - forecast|)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MAPE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Mean Absolute Percentage Error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100 × mean(|actual - forecast| / |actual|)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DTW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Dynamic Time Warping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Distance measure for time series similarity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Coverage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Prediction Interval Coverage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Percentage of actuals within prediction intervals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AIW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Average Interval Width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Mean width of 95% prediction intervals</w:t>
            </w:r>
          </w:p>
        </w:tc>
      </w:tr>
    </w:tbl>
    <w:p/>
    <w:p/>
    <w:p>
      <w:pPr>
        <w:jc w:val="center"/>
      </w:pPr>
      <w:r>
        <w:rPr>
          <w:rFonts w:ascii="Arial" w:hAnsi="Arial"/>
          <w:b/>
          <w:color w:val="666666"/>
          <w:sz w:val="24"/>
        </w:rPr>
        <w:t>--- HẾT BÁO CÁO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