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365907B">
      <w:pPr>
        <w:pBdr>
          <w:top w:space="130"/>
        </w:pBdr>
        <w:spacing w:after="440" w:line="432"/>
        <w:jc w:val="both"/>
        <w:rPr>
          <w:color w:val="b23a2e"/>
        </w:rPr>
      </w:pPr>
      <w:r>
        <w:rPr>
          <w:rFonts w:hint="eastAsia" w:ascii="SimHei" w:hAnsi="SimHei" w:eastAsia="SimHei" w:cs="SimHei"/>
          <w:color w:val="b23a2e"/>
          <w:spacing w:val="60"/>
          <w:sz w:val="22"/>
        </w:rPr>
        <w:t>行业分析 ｜ INDUSTRY ANALYSIS</w:t>
      </w:r>
    </w:p>
    <w:p w14:paraId="0C3254D8">
      <w:pPr>
        <w:pBdr>
          <w:top w:space="130"/>
        </w:pBdr>
        <w:spacing w:line="348"/>
        <w:jc w:val="both"/>
        <w:rPr>
          <w:color w:val="1f3a5f"/>
        </w:rPr>
      </w:pPr>
      <w:r>
        <w:rPr>
          <w:rFonts w:hint="eastAsia" w:ascii="SimHei" w:hAnsi="SimHei" w:eastAsia="SimHei" w:cs="SimHei"/>
          <w:b w:val="1"/>
          <w:color w:val="1f3a5f"/>
          <w:sz w:val="60"/>
        </w:rPr>
        <w:t>会议活动服务行业</w:t>
      </w:r>
      <w:r>
        <w:br w:type="textWrapping"/>
      </w:r>
      <w:r>
        <w:rPr>
          <w:rFonts w:hint="eastAsia" w:ascii="SimHei" w:hAnsi="SimHei" w:eastAsia="SimHei" w:cs="SimHei"/>
          <w:b w:val="1"/>
          <w:color w:val="1f3a5f"/>
          <w:sz w:val="60"/>
        </w:rPr>
        <w:t>数字化与人工智能应用分析</w:t>
      </w:r>
    </w:p>
    <w:p w14:paraId="6A001A87">
      <w:pPr>
        <w:pBdr>
          <w:top w:space="130"/>
        </w:pBdr>
        <w:spacing w:line="408"/>
        <w:jc w:val="both"/>
        <w:rPr>
          <w:color w:val="55616b"/>
        </w:rPr>
      </w:pPr>
      <w:r>
        <w:rPr>
          <w:rFonts w:hint="eastAsia" w:ascii="SimSun" w:hAnsi="SimSun" w:eastAsia="SimSun" w:cs="SimSun"/>
          <w:color w:val="55616b"/>
          <w:sz w:val="26"/>
        </w:rPr>
        <w:t>面向「会议活动服务需求汇总」项目的</w:t>
      </w:r>
      <w:r>
        <w:br w:type="textWrapping"/>
      </w:r>
      <w:r>
        <w:rPr>
          <w:rFonts w:hint="eastAsia" w:ascii="SimSun" w:hAnsi="SimSun" w:eastAsia="SimSun" w:cs="SimSun"/>
          <w:color w:val="55616b"/>
          <w:sz w:val="26"/>
        </w:rPr>
        <w:t>外部环境判断、可比实践对照与计价口径</w:t>
      </w:r>
    </w:p>
    <w:p w14:paraId="2F67E19D">
      <w:pPr>
        <w:pBdr>
          <w:top w:space="130"/>
        </w:pBdr>
        <w:spacing w:line="504"/>
        <w:jc w:val="both"/>
        <w:rPr>
          <w:color w:val="55616b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5616b"/>
          <w:sz w:val="21"/>
        </w:rPr>
        <w:t xml:space="preserve"> 项目：会议活动服务需求汇总（上海靖达国际商务会展旅行有限公司）</w:t>
      </w:r>
      <w:r>
        <w:br w:type="textWrapping"/>
      </w:r>
      <w:r>
        <w:rPr>
          <w:rFonts w:hint="eastAsia" w:ascii="SimSun" w:hAnsi="SimSun" w:eastAsia="SimSun" w:cs="SimSun"/>
          <w:color w:val="55616b"/>
          <w:sz w:val="21"/>
        </w:rPr>
        <w:t xml:space="preserve"> 阶段：业务挖掘 → 定向调研 支撑材料</w:t>
      </w:r>
      <w:r>
        <w:br w:type="textWrapping"/>
      </w:r>
      <w:r>
        <w:rPr>
          <w:rFonts w:hint="eastAsia" w:ascii="SimSun" w:hAnsi="SimSun" w:eastAsia="SimSun" w:cs="SimSun"/>
          <w:color w:val="55616b"/>
          <w:sz w:val="21"/>
        </w:rPr>
        <w:t xml:space="preserve"> 版本：v2.0　　编制日期：2026 年 10 月 23 日 </w:t>
      </w:r>
    </w:p>
    <w:p w14:paraId="2780129B">
      <w:pPr>
        <w:spacing w:before="240" w:after="120"/>
      </w:pPr>
      <w:r>
        <w:rPr>
          <w:rFonts w:hint="eastAsia"/>
          <w:b w:val="1"/>
        </w:rPr>
        <w:t>目　录</w:t>
      </w:r>
    </w:p>
    <w:p w14:paraId="5E24BF9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第一章　报告目的与判断口径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E49B8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"s1-1" </w:instrText>
      </w:r>
      <w:r>
        <w:fldChar w:fldCharType="separate" w:fldLock="0" w:dirty="0"/>
      </w:r>
      <w:r>
        <w:rPr>
          <w:rFonts w:hint="eastAsia"/>
        </w:rPr>
        <w:t>1.1　为什么在这一步做行业分析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72675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"s1-2" </w:instrText>
      </w:r>
      <w:r>
        <w:fldChar w:fldCharType="separate" w:fldLock="0" w:dirty="0"/>
      </w:r>
      <w:r>
        <w:rPr>
          <w:rFonts w:hint="eastAsia"/>
        </w:rPr>
        <w:t>1.2　三级引用口径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95EAB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"s1-3" </w:instrText>
      </w:r>
      <w:r>
        <w:fldChar w:fldCharType="separate" w:fldLock="0" w:dirty="0"/>
      </w:r>
      <w:r>
        <w:rPr>
          <w:rFonts w:hint="eastAsia"/>
        </w:rPr>
        <w:t>1.3　先给结论：五条判断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CEFF21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第二章　行业边界、价值链与交付链路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80533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"s2-1" </w:instrText>
      </w:r>
      <w:r>
        <w:fldChar w:fldCharType="separate" w:fldLock="0" w:dirty="0"/>
      </w:r>
      <w:r>
        <w:rPr>
          <w:rFonts w:hint="eastAsia"/>
        </w:rPr>
        <w:t>2.1　行业范围界定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6BE0D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"s2-2" </w:instrText>
      </w:r>
      <w:r>
        <w:fldChar w:fldCharType="separate" w:fldLock="0" w:dirty="0"/>
      </w:r>
      <w:r>
        <w:rPr>
          <w:rFonts w:hint="eastAsia"/>
        </w:rPr>
        <w:t>2.2　价值链上的六类角色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E5395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"s2-3" </w:instrText>
      </w:r>
      <w:r>
        <w:fldChar w:fldCharType="separate" w:fldLock="0" w:dirty="0"/>
      </w:r>
      <w:r>
        <w:rPr>
          <w:rFonts w:hint="eastAsia"/>
        </w:rPr>
        <w:t>2.3　一次会议的六段交付链路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64E98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"s2-4" </w:instrText>
      </w:r>
      <w:r>
        <w:fldChar w:fldCharType="separate" w:fldLock="0" w:dirty="0"/>
      </w:r>
      <w:r>
        <w:rPr>
          <w:rFonts w:hint="eastAsia"/>
        </w:rPr>
        <w:t>2.4　一条关键判断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DC521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第三章　市场规模与产业结构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6B69D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"s3-1" </w:instrText>
      </w:r>
      <w:r>
        <w:fldChar w:fldCharType="separate" w:fldLock="0" w:dirty="0"/>
      </w:r>
      <w:r>
        <w:rPr>
          <w:rFonts w:hint="eastAsia"/>
        </w:rPr>
        <w:t>3.1　规模：三个来源，三个数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00F9B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"s3-2" </w:instrText>
      </w:r>
      <w:r>
        <w:fldChar w:fldCharType="separate" w:fldLock="0" w:dirty="0"/>
      </w:r>
      <w:r>
        <w:rPr>
          <w:rFonts w:hint="eastAsia"/>
        </w:rPr>
        <w:t>3.2　结构：分散的供给侧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65608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"s3-3" </w:instrText>
      </w:r>
      <w:r>
        <w:fldChar w:fldCharType="separate" w:fldLock="0" w:dirty="0"/>
      </w:r>
      <w:r>
        <w:rPr>
          <w:rFonts w:hint="eastAsia"/>
        </w:rPr>
        <w:t>3.3　需求侧的三条变化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4B88E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"s3-4" </w:instrText>
      </w:r>
      <w:r>
        <w:fldChar w:fldCharType="separate" w:fldLock="0" w:dirty="0"/>
      </w:r>
      <w:r>
        <w:rPr>
          <w:rFonts w:hint="eastAsia"/>
        </w:rPr>
        <w:t>3.4　工具栈的四层现实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3B4DA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第四章　数字化渗透：一个必须先处理的数据冲突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16E94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"s4-1" </w:instrText>
      </w:r>
      <w:r>
        <w:fldChar w:fldCharType="separate" w:fldLock="0" w:dirty="0"/>
      </w:r>
      <w:r>
        <w:rPr>
          <w:rFonts w:hint="eastAsia"/>
        </w:rPr>
        <w:t>4.1　同一指标的两个数字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253CF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"s4-2" </w:instrText>
      </w:r>
      <w:r>
        <w:fldChar w:fldCharType="separate" w:fldLock="0" w:dirty="0"/>
      </w:r>
      <w:r>
        <w:rPr>
          <w:rFonts w:hint="eastAsia"/>
        </w:rPr>
        <w:t>4.2　冲突来自三处口径差异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039F1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"s4-3" </w:instrText>
      </w:r>
      <w:r>
        <w:fldChar w:fldCharType="separate" w:fldLock="0" w:dirty="0"/>
      </w:r>
      <w:r>
        <w:rPr>
          <w:rFonts w:hint="eastAsia"/>
        </w:rPr>
        <w:t>4.3　对本项目的三条结论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126357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"s4-4" </w:instrText>
      </w:r>
      <w:r>
        <w:fldChar w:fldCharType="separate" w:fldLock="0" w:dirty="0"/>
      </w:r>
      <w:r>
        <w:rPr>
          <w:rFonts w:hint="eastAsia"/>
        </w:rPr>
        <w:t>4.4　渗透率的分布：高在哪、低在哪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BD3C4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第五章　AI 在会议服务链上的四类可比实践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4EBCE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"s5-1" </w:instrText>
      </w:r>
      <w:r>
        <w:fldChar w:fldCharType="separate" w:fldLock="0" w:dirty="0"/>
      </w:r>
      <w:r>
        <w:rPr>
          <w:rFonts w:hint="eastAsia"/>
        </w:rPr>
        <w:t>5.1　需求采集与结构化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58AF8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"s5-2" </w:instrText>
      </w:r>
      <w:r>
        <w:fldChar w:fldCharType="separate" w:fldLock="0" w:dirty="0"/>
      </w:r>
      <w:r>
        <w:rPr>
          <w:rFonts w:hint="eastAsia"/>
        </w:rPr>
        <w:t>5.2　版本与交接治理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754BE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"s5-3" </w:instrText>
      </w:r>
      <w:r>
        <w:fldChar w:fldCharType="separate" w:fldLock="0" w:dirty="0"/>
      </w:r>
      <w:r>
        <w:rPr>
          <w:rFonts w:hint="eastAsia"/>
        </w:rPr>
        <w:t>5.3　异常识别与人工复核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AF776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"s5-4" </w:instrText>
      </w:r>
      <w:r>
        <w:fldChar w:fldCharType="separate" w:fldLock="0" w:dirty="0"/>
      </w:r>
      <w:r>
        <w:rPr>
          <w:rFonts w:hint="eastAsia"/>
        </w:rPr>
        <w:t>5.4　复盘与度量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CA729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"s5-5" </w:instrText>
      </w:r>
      <w:r>
        <w:fldChar w:fldCharType="separate" w:fldLock="0" w:dirty="0"/>
      </w:r>
      <w:r>
        <w:rPr>
          <w:rFonts w:hint="eastAsia"/>
        </w:rPr>
        <w:t>5.5　四类实践对照与六种失败模式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735801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第六章　替代路径比较：为什么不是买平台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F9C85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"s6-1" </w:instrText>
      </w:r>
      <w:r>
        <w:fldChar w:fldCharType="separate" w:fldLock="0" w:dirty="0"/>
      </w:r>
      <w:r>
        <w:rPr>
          <w:rFonts w:hint="eastAsia"/>
        </w:rPr>
        <w:t>6.1　四条可选路径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DF6EF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"s6-2" </w:instrText>
      </w:r>
      <w:r>
        <w:fldChar w:fldCharType="separate" w:fldLock="0" w:dirty="0"/>
      </w:r>
      <w:r>
        <w:rPr>
          <w:rFonts w:hint="eastAsia"/>
        </w:rPr>
        <w:t>6.2　为什么选轻量对齐层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2C0B27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第七章　政策、合规与采购口径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B32C8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"s7-1" </w:instrText>
      </w:r>
      <w:r>
        <w:fldChar w:fldCharType="separate" w:fldLock="0" w:dirty="0"/>
      </w:r>
      <w:r>
        <w:rPr>
          <w:rFonts w:hint="eastAsia"/>
        </w:rPr>
        <w:t>7.1　政策导向：从买工具到买结果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91A2D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"s7-2" </w:instrText>
      </w:r>
      <w:r>
        <w:fldChar w:fldCharType="separate" w:fldLock="0" w:dirty="0"/>
      </w:r>
      <w:r>
        <w:rPr>
          <w:rFonts w:hint="eastAsia"/>
        </w:rPr>
        <w:t>7.2　个人信息与脱敏要求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AFF6C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"s7-3" </w:instrText>
      </w:r>
      <w:r>
        <w:fldChar w:fldCharType="separate" w:fldLock="0" w:dirty="0"/>
      </w:r>
      <w:r>
        <w:rPr>
          <w:rFonts w:hint="eastAsia"/>
        </w:rPr>
        <w:t>7.3　六种报价方式在会展场景的适用性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957AD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第八章　对本项目的六条启示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E577A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第九章　证据边界、待核实项与来源清单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48B89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"s9-1" </w:instrText>
      </w:r>
      <w:r>
        <w:fldChar w:fldCharType="separate" w:fldLock="0" w:dirty="0"/>
      </w:r>
      <w:r>
        <w:rPr>
          <w:rFonts w:hint="eastAsia"/>
        </w:rPr>
        <w:t>9.1　本报告数据的可用范围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2756D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"s9-2" </w:instrText>
      </w:r>
      <w:r>
        <w:fldChar w:fldCharType="separate" w:fldLock="0" w:dirty="0"/>
      </w:r>
      <w:r>
        <w:rPr>
          <w:rFonts w:hint="eastAsia"/>
        </w:rPr>
        <w:t>9.2　仍需补充的证据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318DA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"s9-3" </w:instrText>
      </w:r>
      <w:r>
        <w:fldChar w:fldCharType="separate" w:fldLock="0" w:dirty="0"/>
      </w:r>
      <w:r>
        <w:rPr>
          <w:rFonts w:hint="eastAsia"/>
        </w:rPr>
        <w:t>9.3　来源清单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CA328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"s9-4" </w:instrText>
      </w:r>
      <w:r>
        <w:fldChar w:fldCharType="separate" w:fldLock="0" w:dirty="0"/>
      </w:r>
      <w:r>
        <w:rPr>
          <w:rFonts w:hint="eastAsia"/>
        </w:rPr>
        <w:t>9.4　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D60D2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"section-a" </w:instrText>
      </w:r>
      <w:r>
        <w:fldChar w:fldCharType="separate" w:fldLock="0" w:dirty="0"/>
      </w:r>
      <w:r>
        <w:rPr>
          <w:rFonts w:hint="eastAsia"/>
        </w:rPr>
        <w:t>附录 A　术语与口径对照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section-a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D8151A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4813088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第一章　报告目的与判断口径</w:t>
      </w:r>
      <w:bookmarkEnd w:id="1"/>
    </w:p>
    <w:p w14:paraId="722BA312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" w:name="s1-1"/>
      <w:r>
        <w:rPr>
          <w:rFonts w:hint="eastAsia" w:ascii="SimHei" w:hAnsi="SimHei" w:eastAsia="SimHei" w:cs="SimHei"/>
          <w:b w:val="1"/>
          <w:color w:val="1f3a5f"/>
          <w:sz w:val="27"/>
        </w:rPr>
        <w:t>1.1　为什么在这一步做行业分析</w:t>
      </w:r>
      <w:bookmarkEnd w:id="2"/>
    </w:p>
    <w:p w14:paraId="2A26B44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本项目前序阶段已完成业务挖掘，产出了事件卡 E-01、六条需求 REQ-1 至 REQ-6、指标口径 M1 至 M8 与项目章程。但四来源中，客户访谈、一线观察、流程文档三者已有依据，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行业来源（Industry）始终空缺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6BFBFB1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空缺带来的直接后果是：无法回答"别人是怎么做的""这条路走通过没有""我们要求的做法是不是行业惯例"。缺少这一层，方案容易停留在内部经验的自我论证，评审时一旦被问"有没有可比实践"就会失分。</w:t>
      </w:r>
    </w:p>
    <w:p w14:paraId="5315DE5D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报告的任务不是描述行业全景，而是回答四个具体问题：一是这个行业的数字化真实到了哪一步；二是与本项目相似的"需求汇总—交接—复核"环节，外部有哪些可对照的做法与失败教训；三是当前的政策与采购口径，会把这类项目推向什么样的计价与验收方式；四是为什么应当选择当前的技术路径，而不是采购成熟平台或自建系统。</w:t>
      </w:r>
    </w:p>
    <w:p w14:paraId="27BEE5CA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" w:name="s1-2"/>
      <w:r>
        <w:rPr>
          <w:rFonts w:hint="eastAsia" w:ascii="SimHei" w:hAnsi="SimHei" w:eastAsia="SimHei" w:cs="SimHei"/>
          <w:b w:val="1"/>
          <w:color w:val="1f3a5f"/>
          <w:sz w:val="27"/>
        </w:rPr>
        <w:t>1.2　三级引用口径</w:t>
      </w:r>
      <w:bookmarkEnd w:id="3"/>
    </w:p>
    <w:p w14:paraId="60BE1BF9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本报告对全部数据标注可信级别，避免把二手宣传口径当作事实使用。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654"/>
        <w:gridCol w:w="3654"/>
      </w:tblGrid>
      <w:tr>
        <w:trPr>
          <w:tblHeader w:val="1"/>
        </w:trPr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D8383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级别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11385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定义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A2A94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使用方式</w:t>
            </w:r>
          </w:p>
        </w:tc>
      </w:tr>
      <w:tr>
        <w:trPr/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933A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A 级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4A284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有明确发布机构、年份与统计口径的公开数据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7FF7E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可作为行业背景引用，不得直接替代本项目基线</w:t>
            </w:r>
          </w:p>
        </w:tc>
      </w:tr>
      <w:tr>
        <w:trPr/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8F77A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B 级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01790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行业报告或媒体转述、原始口径未完整披露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93F16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仅作趋势判断，不引用具体数值</w:t>
            </w:r>
          </w:p>
        </w:tc>
      </w:tr>
      <w:tr>
        <w:trPr/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B86CE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 级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3DF3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供应商宣传、案例自述、推算值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BF44D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仅作方向参考，不进入任何测算</w:t>
            </w:r>
          </w:p>
        </w:tc>
      </w:tr>
    </w:tbl>
    <w:p w14:paraId="010105AF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1-1　三级引用口径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23a2e" w:sz="24"/>
              <w:bottom w:val="none" w:sz="8"/>
              <w:right w:val="none" w:sz="8"/>
            </w:tcBorders>
            <w:shd w:val="clear" w:fill="fbf0ee"/>
            <w:vAlign w:val="center"/>
          </w:tcPr>
          <w:p w14:paraId="6AC8231A">
            <w:pPr>
              <w:rPr>
                <w:color w:val="7a2c24"/>
              </w:rPr>
            </w:pPr>
            <w:r>
              <w:rPr>
                <w:rFonts w:hint="eastAsia" w:ascii="SimSun" w:hAnsi="SimSun" w:eastAsia="SimSun" w:cs="SimSun"/>
                <w:color w:val="7a2c24"/>
                <w:sz w:val="21"/>
              </w:rPr>
              <w:t>需要特别说明：</w:t>
            </w:r>
            <w:r>
              <w:rPr>
                <w:rFonts w:hint="eastAsia" w:ascii="SimSun" w:hAnsi="SimSun" w:eastAsia="SimSun" w:cs="SimSun"/>
                <w:b w:val="1"/>
                <w:color w:val="7a2c24"/>
                <w:sz w:val="21"/>
              </w:rPr>
              <w:t>本报告所有行业数据均为 B 级及以下证据，不能作为本项目收益测算的输入。</w:t>
            </w:r>
            <w:r>
              <w:rPr>
                <w:rFonts w:hint="eastAsia" w:ascii="SimSun" w:hAnsi="SimSun" w:eastAsia="SimSun" w:cs="SimSun"/>
                <w:color w:val="7a2c24"/>
                <w:sz w:val="21"/>
              </w:rPr>
              <w:t>项目自身的基线只能用本项目样本测量，这一点在前序阶段的指标口径中已经确立，本报告不改变该原则。</w:t>
            </w:r>
          </w:p>
        </w:tc>
      </w:tr>
    </w:tbl>
    <w:p w14:paraId="6C5CB36C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4" w:name="s1-3"/>
      <w:r>
        <w:rPr>
          <w:rFonts w:hint="eastAsia" w:ascii="SimHei" w:hAnsi="SimHei" w:eastAsia="SimHei" w:cs="SimHei"/>
          <w:b w:val="1"/>
          <w:color w:val="1f3a5f"/>
          <w:sz w:val="27"/>
        </w:rPr>
        <w:t>1.3　先给结论：五条判断</w:t>
      </w:r>
      <w:bookmarkEnd w:id="4"/>
    </w:p>
    <w:p w14:paraId="76C81CB1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为便于评审快速取用，先把全报告的五条判断列在这里，依据与作用在后文逐条展开。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661"/>
        <w:gridCol w:w="3322"/>
      </w:tblGrid>
      <w:tr>
        <w:trPr>
          <w:tblHeader w:val="1"/>
        </w:trPr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CBEF7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判断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F8E62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依据章节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657EC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对本项目的作用</w:t>
            </w:r>
          </w:p>
        </w:tc>
      </w:tr>
      <w:tr>
        <w:trPr/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934DA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行业"用过数字手段"的比例高，"改造成数据闭环"的比例低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13C53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第三、四章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C9EB4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切入点选在协同与留痕，不在展示与报名</w:t>
            </w:r>
          </w:p>
        </w:tc>
      </w:tr>
      <w:tr>
        <w:trPr/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C82C9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改善路径是在既有工具之上加轻量对齐层，不是重建平台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B8140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第二、六章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6C80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支撑"只读、不写回"的项目边界</w:t>
            </w:r>
          </w:p>
        </w:tc>
      </w:tr>
      <w:tr>
        <w:trPr/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5A663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交接与版本治理是行业成熟度最低、失败率最高的一环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8104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第五章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3C858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REQ-1、REQ-2 必须设计为拦截式卡口，不能只做提醒</w:t>
            </w:r>
          </w:p>
        </w:tc>
      </w:tr>
      <w:tr>
        <w:trPr/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E39B6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异常处理的通行架构是"机器识别 + 人工判定"，不是"机器判定"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F350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第五章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5EB65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REQ-3 的人工队列是行业惯例，不是本项目的特殊保守</w:t>
            </w:r>
          </w:p>
        </w:tc>
      </w:tr>
      <w:tr>
        <w:trPr/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25FC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采购口径正从"买工具"转向"买结果"，单一计价不可行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1176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第七章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2ACD4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报价单采用"固定总价 + 人天 + 封顶浮动"三段结构</w:t>
            </w:r>
          </w:p>
        </w:tc>
      </w:tr>
    </w:tbl>
    <w:p w14:paraId="106EEBA4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1-2　全报告五条判断与作用</w:t>
      </w:r>
    </w:p>
    <w:p w14:paraId="307EB8B9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5" w:name="section-2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第二章　行业边界、价值链与交付链路</w:t>
      </w:r>
      <w:bookmarkEnd w:id="5"/>
    </w:p>
    <w:p w14:paraId="0CE5B908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6" w:name="s2-1"/>
      <w:r>
        <w:rPr>
          <w:rFonts w:hint="eastAsia" w:ascii="SimHei" w:hAnsi="SimHei" w:eastAsia="SimHei" w:cs="SimHei"/>
          <w:b w:val="1"/>
          <w:color w:val="1f3a5f"/>
          <w:sz w:val="27"/>
        </w:rPr>
        <w:t>2.1　行业范围界定</w:t>
      </w:r>
      <w:bookmarkEnd w:id="6"/>
    </w:p>
    <w:p w14:paraId="11D83EBF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本项目所属行业通常归入会议奖励旅游与会展服务（MICE：Meetings、Incentives、Conventions、Exhibitions），并与商务旅行管理（TMC）交叉。MICE 内部又分主办招商、场馆运营、目的地服务（DMC）与执行服务四层；本项目上海靖达国际商务会展旅行有限公司的业务落在</w:t>
      </w:r>
      <w:r>
        <w:rPr>
          <w:rFonts w:hint="eastAsia" w:ascii="SimSun" w:hAnsi="SimSun" w:eastAsia="SimSun" w:cs="SimSun"/>
          <w:b w:val="1"/>
          <w:color w:val="1a1a1a"/>
          <w:sz w:val="24"/>
        </w:rPr>
        <w:t>执行服务层</w:t>
      </w:r>
      <w:r>
        <w:rPr>
          <w:rFonts w:hint="eastAsia" w:ascii="SimSun" w:hAnsi="SimSun" w:eastAsia="SimSun" w:cs="SimSun"/>
          <w:color w:val="1a1a1a"/>
          <w:sz w:val="24"/>
        </w:rPr>
        <w:t>：承接客户委托，完成需求受理、需求汇总、供应商协调与现场执行。</w:t>
      </w:r>
    </w:p>
    <w:p w14:paraId="04DDD655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界定范围的目的有二：其一，后续引用的任何行业数据必须核对是否覆盖执行服务层——很多"会展业数字化"的数据实际统计的是主办与场馆侧；其二，明确本项目不涉及的环节（场馆运营、招商、票务），这些环节的需求与本项目无关，不应进入范围。</w:t>
      </w:r>
    </w:p>
    <w:p w14:paraId="3DEE3778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7" w:name="s2-2"/>
      <w:r>
        <w:rPr>
          <w:rFonts w:hint="eastAsia" w:ascii="SimHei" w:hAnsi="SimHei" w:eastAsia="SimHei" w:cs="SimHei"/>
          <w:b w:val="1"/>
          <w:color w:val="1f3a5f"/>
          <w:sz w:val="27"/>
        </w:rPr>
        <w:t>2.2　价值链上的六类角色</w:t>
      </w:r>
      <w:bookmarkEnd w:id="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491"/>
        <w:gridCol w:w="2325"/>
        <w:gridCol w:w="2159"/>
      </w:tblGrid>
      <w:tr>
        <w:trPr>
          <w:tblHeader w:val="1"/>
        </w:trPr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F46B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角色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75C03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在需求汇总中的动作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E65F7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数据通常落在哪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1196C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本项目的对应角色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6C8AA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主办 / 客户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02C3C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提出需求、变更议程、确认方案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01C2F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邮件、会议纪要、口头沟通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FE99B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叶书、顾明岚（客户侧）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06BD0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会务服务商（本项目主体）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DDF77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受理、汇总、定版、交接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AB45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表格、即时通讯群、文件库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CBDCD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唐映秋、林亦舟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9301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专项供应商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A624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接收需求、报价、准备、执行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A663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交接单、群消息、自留底表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A6E3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外部供应商（本期不直连）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485BB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场馆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7828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场地条件、进场规则、时限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7A605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场馆系统或邮件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7399C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未纳入本期范围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FCF85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技术平台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5E1E5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报名、签到、内容管理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94E6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各类 SaaS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8FAF8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未纳入本期范围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BE3C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质量 / 合规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59D1A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验收、留痕检查、复盘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B4E5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抽检记录、复盘纪要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3353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傅景</w:t>
            </w:r>
          </w:p>
        </w:tc>
      </w:tr>
    </w:tbl>
    <w:p w14:paraId="3F7A2BF5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2-1　价值链六类角色与数据落点</w:t>
      </w:r>
    </w:p>
    <w:p w14:paraId="5DECA976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这张表解释了本项目现状的一个结构性特征：需求信息在六类角色之间流转，但</w:t>
      </w:r>
      <w:r>
        <w:rPr>
          <w:rFonts w:hint="eastAsia" w:ascii="SimSun" w:hAnsi="SimSun" w:eastAsia="SimSun" w:cs="SimSun"/>
          <w:b w:val="1"/>
          <w:color w:val="1a1a1a"/>
          <w:sz w:val="24"/>
        </w:rPr>
        <w:t>没有任何一方掌握全部数据的权威版本</w:t>
      </w:r>
      <w:r>
        <w:rPr>
          <w:rFonts w:hint="eastAsia" w:ascii="SimSun" w:hAnsi="SimSun" w:eastAsia="SimSun" w:cs="SimSun"/>
          <w:color w:val="1a1a1a"/>
          <w:sz w:val="24"/>
        </w:rPr>
        <w:t>。客户的需求在邮件里，汇总在表格里，确认在群里，供应商的执行在自留底表里。行业普遍如此，并非本项目管理不善。</w:t>
      </w:r>
    </w:p>
    <w:p w14:paraId="308EA07E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8" w:name="s2-3"/>
      <w:r>
        <w:rPr>
          <w:rFonts w:hint="eastAsia" w:ascii="SimHei" w:hAnsi="SimHei" w:eastAsia="SimHei" w:cs="SimHei"/>
          <w:b w:val="1"/>
          <w:color w:val="1f3a5f"/>
          <w:sz w:val="27"/>
        </w:rPr>
        <w:t>2.3　一次会议的六段交付链路</w:t>
      </w:r>
      <w:bookmarkEnd w:id="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159"/>
        <w:gridCol w:w="2325"/>
        <w:gridCol w:w="2159"/>
      </w:tblGrid>
      <w:tr>
        <w:trPr>
          <w:tblHeader w:val="1"/>
        </w:trPr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D33BC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阶段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58B26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行业常见交付物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A8AB5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常见失控点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8453D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本项目现状对应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BA1DC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① 需求受理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ED36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需求登记表 / Brief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F69F3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口头需求不入册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47DF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群消息先、系统后补（f13）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A4EC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② 方案与报价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4D945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方案书、报价单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2CF5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版本与客户确认不对应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632AC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靠文件名猜版本（f24）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02BA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③ 合同与预付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71E3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合同、付款节点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B45C3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F690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不在本期范围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CFF8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④ 执行准备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E91E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需求汇总清单、交接单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7A00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交接三要素不全、责任转移时点不明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13275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REQ-1 至 REQ-6 集中于此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DD7EE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⑤ 现场执行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71599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执行手册、现场分工表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67600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临时变更无回填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F6E81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主持人临场改双语（E-01）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11DB3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⑥ 结算与复盘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14C25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结算单、复盘纪要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FA08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复盘结论不回流到流程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8199A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能发现问题、改不了流程（f55）</w:t>
            </w:r>
          </w:p>
        </w:tc>
      </w:tr>
    </w:tbl>
    <w:p w14:paraId="263FAF7D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2-2　六段交付链路与失控点分布</w:t>
      </w:r>
    </w:p>
    <w:p w14:paraId="7194472A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9" w:name="s2-4"/>
      <w:r>
        <w:rPr>
          <w:rFonts w:hint="eastAsia" w:ascii="SimHei" w:hAnsi="SimHei" w:eastAsia="SimHei" w:cs="SimHei"/>
          <w:b w:val="1"/>
          <w:color w:val="1f3a5f"/>
          <w:sz w:val="27"/>
        </w:rPr>
        <w:t>2.4　一条关键判断</w:t>
      </w:r>
      <w:bookmarkEnd w:id="9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8c99a5" w:sz="24"/>
              <w:bottom w:val="none" w:sz="8"/>
              <w:right w:val="none" w:sz="8"/>
            </w:tcBorders>
            <w:shd w:val="clear" w:fill="f4f6f8"/>
            <w:vAlign w:val="center"/>
          </w:tcPr>
          <w:p w14:paraId="55B47F2E">
            <w:pPr>
              <w:rPr>
                <w:color w:val="40484f"/>
              </w:rPr>
            </w:pPr>
            <w:r>
              <w:rPr>
                <w:rFonts w:hint="eastAsia" w:ascii="SimSun" w:hAnsi="SimSun" w:eastAsia="SimSun" w:cs="SimSun"/>
                <w:b w:val="1"/>
                <w:color w:val="40484f"/>
                <w:sz w:val="21"/>
              </w:rPr>
              <w:t>价值最密集的环节是第④段"执行准备"，但它恰恰是行业数字化覆盖最薄弱的一段。</w:t>
            </w:r>
            <w:r>
              <w:rPr>
                <w:rFonts w:hint="eastAsia" w:ascii="SimSun" w:hAnsi="SimSun" w:eastAsia="SimSun" w:cs="SimSun"/>
                <w:color w:val="40484f"/>
                <w:sz w:val="21"/>
              </w:rPr>
              <w:t>报名、签到、直播等环节有大量成熟 SaaS，而需求汇总、版本管理、供应商交接仍以表格和人际沟通为主。本项目选择这一段作为切入点，与行业覆盖缺口一致，不是逆势硬啃最难的环节。</w:t>
            </w:r>
          </w:p>
        </w:tc>
      </w:tr>
    </w:tbl>
    <w:p w14:paraId="5779E090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10" w:name="section-3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第三章　市场规模与产业结构</w:t>
      </w:r>
      <w:bookmarkEnd w:id="10"/>
    </w:p>
    <w:p w14:paraId="32FE6989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1" w:name="s3-1"/>
      <w:r>
        <w:rPr>
          <w:rFonts w:hint="eastAsia" w:ascii="SimHei" w:hAnsi="SimHei" w:eastAsia="SimHei" w:cs="SimHei"/>
          <w:b w:val="1"/>
          <w:color w:val="1f3a5f"/>
          <w:sz w:val="27"/>
        </w:rPr>
        <w:t>3.1　规模：三个来源，三个数</w:t>
      </w:r>
      <w:bookmarkEnd w:id="11"/>
    </w:p>
    <w:p w14:paraId="6291C372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同一时期的中国会展市场，不同来源给出的数字差异明显。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1827"/>
        <w:gridCol w:w="1993"/>
        <w:gridCol w:w="2159"/>
      </w:tblGrid>
      <w:tr>
        <w:trPr>
          <w:tblHeader w:val="1"/>
        </w:trPr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57348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指标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D0BC0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来源一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3404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来源二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BFB50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差异原因</w:t>
            </w:r>
          </w:p>
        </w:tc>
      </w:tr>
      <w:tr>
        <w:trPr/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2A65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2025 年中国展览总面积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867C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1.42 亿平方米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5F06F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1.59 亿平方米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2F07A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是否含非经贸类、境外办展</w:t>
            </w:r>
          </w:p>
        </w:tc>
      </w:tr>
      <w:tr>
        <w:trPr/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8190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2025 年全球会展直接收入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90B9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412 亿美元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82F16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约 520 亿美元（中国口径折算）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E500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是否含关联服务收入</w:t>
            </w:r>
          </w:p>
        </w:tc>
      </w:tr>
      <w:tr>
        <w:trPr/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CECB8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数字化渗透率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E7030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28%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1FDB9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67%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F8902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定义完全不同，见第四章</w:t>
            </w:r>
          </w:p>
        </w:tc>
      </w:tr>
    </w:tbl>
    <w:p w14:paraId="3ACBC428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3-1　同一时期不同来源的规模数据（均为 B 级证据）</w:t>
      </w:r>
    </w:p>
    <w:p w14:paraId="3C489A2A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这一组差异本身就是一个结论：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行业缺乏统一统计口径，任何单一数字都不足以支撑投资判断。</w:t>
      </w:r>
      <w:r>
        <w:rPr>
          <w:rFonts w:hint="eastAsia" w:ascii="SimSun" w:hAnsi="SimSun" w:eastAsia="SimSun" w:cs="SimSun"/>
          <w:color w:val="1a1a1a"/>
          <w:sz w:val="24"/>
        </w:rPr>
        <w:t>因此在引用时，本报告只采用方向性表述（"持续增长""集中度低""渗透加速"），不援引具体数值做推算。</w:t>
      </w:r>
    </w:p>
    <w:p w14:paraId="17F8819A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可以确认的方向有三条：中国已是全球最大的会展举办国之一，展馆供给规模居前；行业集中度低，服务企业数量多、单体规模小；关联带动效应强，业内普遍引用 1:9 的带动系数。</w:t>
      </w:r>
    </w:p>
    <w:p w14:paraId="4CC982BD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2" w:name="s3-2"/>
      <w:r>
        <w:rPr>
          <w:rFonts w:hint="eastAsia" w:ascii="SimHei" w:hAnsi="SimHei" w:eastAsia="SimHei" w:cs="SimHei"/>
          <w:b w:val="1"/>
          <w:color w:val="1f3a5f"/>
          <w:sz w:val="27"/>
        </w:rPr>
        <w:t>3.2　结构：分散的供给侧</w:t>
      </w:r>
      <w:bookmarkEnd w:id="12"/>
    </w:p>
    <w:p w14:paraId="62F52F0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会展服务侧的典型特征是"大市场、小公司"。头部主办与场馆运营方集中度相对较高，但承接具体会议服务的执行层高度分散，大量中小服务商仍以表格与人际沟通为主要协作方式。</w:t>
      </w:r>
    </w:p>
    <w:p w14:paraId="1BD6FE0E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这一结构直接决定了两件事：</w:t>
      </w:r>
    </w:p>
    <w:p w14:paraId="06C99645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标准化工具很难自上而下推行。</w:t>
      </w:r>
      <w:r>
        <w:rPr>
          <w:rFonts w:hint="eastAsia" w:ascii="SimSun" w:hAnsi="SimSun" w:eastAsia="SimSun" w:cs="SimSun"/>
          <w:color w:val="1a1a1a"/>
          <w:sz w:val="24"/>
        </w:rPr>
        <w:t>头部企业可以投入建设自有系统，中小服务商没有这个能力，最终形成同一场会议里多方工具并存、数据无法对齐的局面。本项目现状中"三套工具、无统一关联编号"（f30）并非个案，而是行业结构的必然结果。</w:t>
      </w:r>
    </w:p>
    <w:p w14:paraId="4AB40BF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第二，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改善的着力点在下游协同，不在上游系统。</w:t>
      </w:r>
      <w:r>
        <w:rPr>
          <w:rFonts w:hint="eastAsia" w:ascii="SimSun" w:hAnsi="SimSun" w:eastAsia="SimSun" w:cs="SimSun"/>
          <w:color w:val="1a1a1a"/>
          <w:sz w:val="24"/>
        </w:rPr>
        <w:t>既然无法要求所有参与方换系统，可行的路径是在既有工具之上增加一层轻量的对齐与核对机制，而不是重建平台。</w:t>
      </w:r>
    </w:p>
    <w:p w14:paraId="5DDD2AC0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3" w:name="s3-3"/>
      <w:r>
        <w:rPr>
          <w:rFonts w:hint="eastAsia" w:ascii="SimHei" w:hAnsi="SimHei" w:eastAsia="SimHei" w:cs="SimHei"/>
          <w:b w:val="1"/>
          <w:color w:val="1f3a5f"/>
          <w:sz w:val="27"/>
        </w:rPr>
        <w:t>3.3　需求侧的三条变化</w:t>
      </w:r>
      <w:bookmarkEnd w:id="1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3322"/>
        <w:gridCol w:w="3156"/>
      </w:tblGrid>
      <w:tr>
        <w:trPr>
          <w:tblHeader w:val="1"/>
        </w:trPr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9A8F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变化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C093C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表现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C19E6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对"需求汇总"环节的要求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D8A5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可追溯要求上升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F7F6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客户事后追问"这一项谁确认的、按哪个版本执行"成为常态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1CDC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每项需求带责任人与确认状态（对应 f42、M6）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023CD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合规与个人信息要求上升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F4100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饮食禁忌、健康信息、证件号等敏感字段进入需求清单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F0805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脱敏、最小化、留痕期限需事先约定（对应 f32、REQ-6）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0636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预算收紧、按项核算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6347A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客户要求服务报价能对到具体服务项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1429F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汇总清单要能逐项追溯来源与变更（对应 M7 可追溯率）</w:t>
            </w:r>
          </w:p>
        </w:tc>
      </w:tr>
    </w:tbl>
    <w:p w14:paraId="1366624C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3-2　需求侧三条变化与本项目需求的对应</w:t>
      </w:r>
    </w:p>
    <w:p w14:paraId="2B718848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4" w:name="s3-4"/>
      <w:r>
        <w:rPr>
          <w:rFonts w:hint="eastAsia" w:ascii="SimHei" w:hAnsi="SimHei" w:eastAsia="SimHei" w:cs="SimHei"/>
          <w:b w:val="1"/>
          <w:color w:val="1f3a5f"/>
          <w:sz w:val="27"/>
        </w:rPr>
        <w:t>3.4　工具栈的四层现实</w:t>
      </w:r>
      <w:bookmarkEnd w:id="1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491"/>
        <w:gridCol w:w="2657"/>
        <w:gridCol w:w="1661"/>
      </w:tblGrid>
      <w:tr>
        <w:trPr>
          <w:tblHeader w:val="1"/>
        </w:trPr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41A74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层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51AF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实际承担什么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4649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失效方式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BEC34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本项目证据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E3411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表格层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BE348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需求汇总清单的"事实权威版本"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570FE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多副本漂移、无版本规则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4FB67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f24、f34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10F6F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即时通讯层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81D8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临时需求、变更、催办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E3C92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信息散落、无法检索、事后回溯困难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F3B09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f13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026B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服务台 / 工单层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2992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跨团队请求与分派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E7BA5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字段口径不一、与表格对不上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CF01C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f30、f31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553E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文件库层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49C6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方案与版本存档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5B473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靠文件名猜版本、无维护人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3B1FF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f24</w:t>
            </w:r>
          </w:p>
        </w:tc>
      </w:tr>
    </w:tbl>
    <w:p w14:paraId="0981EE90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3-3　现状工具栈四层与失效方式</w:t>
      </w:r>
    </w:p>
    <w:p w14:paraId="3297EA35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15" w:name="section-4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第四章　数字化渗透：一个必须先处理的数据冲突</w:t>
      </w:r>
      <w:bookmarkEnd w:id="15"/>
    </w:p>
    <w:p w14:paraId="6B909B58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6" w:name="s4-1"/>
      <w:r>
        <w:rPr>
          <w:rFonts w:hint="eastAsia" w:ascii="SimHei" w:hAnsi="SimHei" w:eastAsia="SimHei" w:cs="SimHei"/>
          <w:b w:val="1"/>
          <w:color w:val="1f3a5f"/>
          <w:sz w:val="27"/>
        </w:rPr>
        <w:t>4.1　同一指标的两个数字</w:t>
      </w:r>
      <w:bookmarkEnd w:id="16"/>
    </w:p>
    <w:p w14:paraId="4190BE4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公开材料中，"会展行业数字化渗透率"出现过两个相差悬殊的数字：28% 与 67%。若不加辨析直接引用，会得出完全相反的结论——前者说明行业仍在早期，后者说明已近普及。</w:t>
      </w:r>
    </w:p>
    <w:p w14:paraId="1B5A865F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7" w:name="s4-2"/>
      <w:r>
        <w:rPr>
          <w:rFonts w:hint="eastAsia" w:ascii="SimHei" w:hAnsi="SimHei" w:eastAsia="SimHei" w:cs="SimHei"/>
          <w:b w:val="1"/>
          <w:color w:val="1f3a5f"/>
          <w:sz w:val="27"/>
        </w:rPr>
        <w:t>4.2　冲突来自三处口径差异</w:t>
      </w:r>
      <w:bookmarkEnd w:id="1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3405"/>
        <w:gridCol w:w="3405"/>
      </w:tblGrid>
      <w:tr>
        <w:trPr>
          <w:tblHeader w:val="1"/>
        </w:trPr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8D9E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差异点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3DC15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28% 一侧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A8001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67% 一侧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A808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统计对象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58CB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采用数字技术开展核心业务的项目占比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70D9C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含线上展示、数据配对或虚拟体验的项目占比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F1B93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判定门槛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2C4C2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需要形成数据闭环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105F0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只要有一个环节用了数字手段即计入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90F7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样本范围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69B8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以专业展为主</w:t>
            </w:r>
          </w:p>
        </w:tc>
        <w:tc>
          <w:tcPr>
            <w:tcW w:w="340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30FD5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含消费展与混合办展项目</w:t>
            </w:r>
          </w:p>
        </w:tc>
      </w:tr>
    </w:tbl>
    <w:p w14:paraId="4EE68AF6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4-1　两个渗透率数字的口径差异</w:t>
      </w:r>
    </w:p>
    <w:p w14:paraId="26060EF0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简言之，一个统计的是"业务是否被数字化改造"，另一个统计的是"活动是否用过数字手段"。前者接近本项目的关切，后者只是行业热度的表征。</w:t>
      </w:r>
    </w:p>
    <w:p w14:paraId="5F061FDF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8" w:name="s4-3"/>
      <w:r>
        <w:rPr>
          <w:rFonts w:hint="eastAsia" w:ascii="SimHei" w:hAnsi="SimHei" w:eastAsia="SimHei" w:cs="SimHei"/>
          <w:b w:val="1"/>
          <w:color w:val="1f3a5f"/>
          <w:sz w:val="27"/>
        </w:rPr>
        <w:t>4.3　对本项目的三条结论</w:t>
      </w:r>
      <w:bookmarkEnd w:id="18"/>
    </w:p>
    <w:p w14:paraId="3971CA62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行业整体的"用过"比例高，但"改造成闭环"的比例低。</w:t>
      </w:r>
      <w:r>
        <w:rPr>
          <w:rFonts w:hint="eastAsia" w:ascii="SimSun" w:hAnsi="SimSun" w:eastAsia="SimSun" w:cs="SimSun"/>
          <w:color w:val="1a1a1a"/>
          <w:sz w:val="24"/>
        </w:rPr>
        <w:t>这与本项目访谈中观察到的现象一致：工具不少，但对不起来。</w:t>
      </w:r>
    </w:p>
    <w:p w14:paraId="6ADB270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第二，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不能用行业渗透率反推本项目的改造空间。</w:t>
      </w:r>
      <w:r>
        <w:rPr>
          <w:rFonts w:hint="eastAsia" w:ascii="SimSun" w:hAnsi="SimSun" w:eastAsia="SimSun" w:cs="SimSun"/>
          <w:color w:val="1a1a1a"/>
          <w:sz w:val="24"/>
        </w:rPr>
        <w:t>本项目的节省空间只能由自身的 30.8 人时/场（现状量化）与目标值之差决定。</w:t>
      </w:r>
    </w:p>
    <w:p w14:paraId="3759E2E7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第三，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渗透率高的环节集中在展示与匹配，不在协同与留痕。</w:t>
      </w:r>
      <w:r>
        <w:rPr>
          <w:rFonts w:hint="eastAsia" w:ascii="SimSun" w:hAnsi="SimSun" w:eastAsia="SimSun" w:cs="SimSun"/>
          <w:color w:val="1a1a1a"/>
          <w:sz w:val="24"/>
        </w:rPr>
        <w:t>这与下一节的分布一致，也正是本项目选择"交接与复核"作为切入点的外部依据。</w:t>
      </w:r>
    </w:p>
    <w:p w14:paraId="754B2BBC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19" w:name="s4-4"/>
      <w:r>
        <w:rPr>
          <w:rFonts w:hint="eastAsia" w:ascii="SimHei" w:hAnsi="SimHei" w:eastAsia="SimHei" w:cs="SimHei"/>
          <w:b w:val="1"/>
          <w:color w:val="1f3a5f"/>
          <w:sz w:val="27"/>
        </w:rPr>
        <w:t>4.4　渗透率的分布：高在哪、低在哪</w:t>
      </w:r>
      <w:bookmarkEnd w:id="1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1162"/>
        <w:gridCol w:w="2824"/>
        <w:gridCol w:w="2159"/>
      </w:tblGrid>
      <w:tr>
        <w:trPr>
          <w:tblHeader w:val="1"/>
        </w:trPr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BEB82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环节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4B815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数字化程度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5741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典型工具形态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92DE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本项目是否受益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C8F45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报名注册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DE814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EE805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成熟 SaaS，即买即用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F0F7B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不涉及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35E7A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展示 / 直播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D93F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34A6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直播平台、虚拟展厅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5BB90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不涉及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FB112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数据配对 / 撮合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94A16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中高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3032D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智能配对、推荐算法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063B5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不涉及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67ABC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需求汇总与交接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3FC3C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低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26F4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表格 + 即时通讯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A95C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本期切入点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5D411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版本与变更管理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F0D1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低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03E4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文件名约定、人工记忆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821C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本期切入点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C9182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结算与复盘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15BFE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中低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2EF4B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结算系统有，复盘靠纪要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67D1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间接相关（M1–M8）</w:t>
            </w:r>
          </w:p>
        </w:tc>
      </w:tr>
    </w:tbl>
    <w:p w14:paraId="5814FA98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4-2　数字化渗透的环节分布（定性判断，B 级）</w:t>
      </w:r>
    </w:p>
    <w:p w14:paraId="70CCC8A9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20" w:name="section-5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第五章　AI 在会议服务链上的四类可比实践</w:t>
      </w:r>
      <w:bookmarkEnd w:id="20"/>
    </w:p>
    <w:p w14:paraId="7BB5BD7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1" w:name="s5-1"/>
      <w:r>
        <w:rPr>
          <w:rFonts w:hint="eastAsia" w:ascii="SimHei" w:hAnsi="SimHei" w:eastAsia="SimHei" w:cs="SimHei"/>
          <w:b w:val="1"/>
          <w:color w:val="1f3a5f"/>
          <w:sz w:val="27"/>
        </w:rPr>
        <w:t>5.1　需求采集与结构化</w:t>
      </w:r>
      <w:bookmarkEnd w:id="21"/>
    </w:p>
    <w:p w14:paraId="7CFFD3D1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外部较为成熟的做法是把非结构化的沟通内容（邮件、聊天、语音）抽取为结构化字段，再交由人工确认。普遍的经验是：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抽取环节可以自动化，确认环节必须保留人工</w:t>
      </w:r>
      <w:r>
        <w:rPr>
          <w:rFonts w:hint="eastAsia" w:ascii="SimSun" w:hAnsi="SimSun" w:eastAsia="SimSun" w:cs="SimSun"/>
          <w:color w:val="1a1a1a"/>
          <w:sz w:val="24"/>
        </w:rPr>
        <w:t>。宣称"全自动生成需求清单"的案例，多数在验收阶段退回半自动。</w:t>
      </w:r>
    </w:p>
    <w:p w14:paraId="65E667FA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对本项目的意义：REQ-4（一线缺项清单与来源位置）的方向与行业一致，但必须保留林亦舟的确认动作，不能把"清单生成"当作"需求确认"。</w:t>
      </w:r>
    </w:p>
    <w:p w14:paraId="4F7016BF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2" w:name="s5-2"/>
      <w:r>
        <w:rPr>
          <w:rFonts w:hint="eastAsia" w:ascii="SimHei" w:hAnsi="SimHei" w:eastAsia="SimHei" w:cs="SimHei"/>
          <w:b w:val="1"/>
          <w:color w:val="1f3a5f"/>
          <w:sz w:val="27"/>
        </w:rPr>
        <w:t>5.2　版本与交接治理</w:t>
      </w:r>
      <w:bookmarkEnd w:id="22"/>
    </w:p>
    <w:p w14:paraId="321785F5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这是外部实践中最容易被低估、也最容易失败的一环。可比做法是三条规则的组合：版本号由系统生成而非人工命名；交接单强制包含接收人、版本与未结项；缺失关键字段时阻断流转而非放行。</w:t>
      </w:r>
    </w:p>
    <w:p w14:paraId="4483C4B0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失败案例的共同点是：规则以"提醒"形式存在，而非"拦截"形式。提醒会被忽略，拦截不会。</w:t>
      </w:r>
    </w:p>
    <w:p w14:paraId="76E2719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对本项目的意义：REQ-1（交接责任转移口径）与 REQ-2（版本规则维护人）应设计为阻断式卡口，而不是提示式提醒。这一点直接决定方案 A 与方案 B 的分界。</w:t>
      </w:r>
    </w:p>
    <w:p w14:paraId="19E2B663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3" w:name="s5-3"/>
      <w:r>
        <w:rPr>
          <w:rFonts w:hint="eastAsia" w:ascii="SimHei" w:hAnsi="SimHei" w:eastAsia="SimHei" w:cs="SimHei"/>
          <w:b w:val="1"/>
          <w:color w:val="1f3a5f"/>
          <w:sz w:val="27"/>
        </w:rPr>
        <w:t>5.3　异常识别与人工复核</w:t>
      </w:r>
      <w:bookmarkEnd w:id="23"/>
    </w:p>
    <w:p w14:paraId="64625863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行业内的通行架构是"机器识别 + 人工队列"，而不是"机器判定"。具体表现为：系统标记可疑项，进入待处理队列，由责任人判定；判定结果留痕；无法判定时挂起而非默认通过。</w:t>
      </w:r>
    </w:p>
    <w:p w14:paraId="67B49F91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对本项目的意义：与 f44（无法确认版本或关键字段时进入人工队列，不能默认通过）完全一致。这不是本项目的特殊要求，而是行业已经形成的共识做法。</w:t>
      </w:r>
    </w:p>
    <w:p w14:paraId="31900862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4" w:name="s5-4"/>
      <w:r>
        <w:rPr>
          <w:rFonts w:hint="eastAsia" w:ascii="SimHei" w:hAnsi="SimHei" w:eastAsia="SimHei" w:cs="SimHei"/>
          <w:b w:val="1"/>
          <w:color w:val="1f3a5f"/>
          <w:sz w:val="27"/>
        </w:rPr>
        <w:t>5.4　复盘与度量</w:t>
      </w:r>
      <w:bookmarkEnd w:id="24"/>
    </w:p>
    <w:p w14:paraId="731011E9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外部实践的趋势是从"活动结束后的满意度调查"转向"过程中的可度量指标"，例如确认完整率、返工次数、异常闭环时长。共同教训是：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只报效率指标（时长、人力）会被质疑，必须同时报质量指标。</w:t>
      </w:r>
    </w:p>
    <w:p w14:paraId="48FBC925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对本项目的意义：M1（处理时长）与 M5（人工复核成本）必须成对呈现，M6（确认完整率）作为质量锚点。这与前序阶段的指标设计一致，本报告提供外部佐证。</w:t>
      </w:r>
    </w:p>
    <w:p w14:paraId="68F55838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5" w:name="s5-5"/>
      <w:r>
        <w:rPr>
          <w:rFonts w:hint="eastAsia" w:ascii="SimHei" w:hAnsi="SimHei" w:eastAsia="SimHei" w:cs="SimHei"/>
          <w:b w:val="1"/>
          <w:color w:val="1f3a5f"/>
          <w:sz w:val="27"/>
        </w:rPr>
        <w:t>5.5　四类实践对照与六种失败模式</w:t>
      </w:r>
      <w:bookmarkEnd w:id="2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996"/>
        <w:gridCol w:w="1827"/>
        <w:gridCol w:w="1827"/>
        <w:gridCol w:w="1993"/>
      </w:tblGrid>
      <w:tr>
        <w:trPr>
          <w:tblHeader w:val="1"/>
        </w:trPr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5D3C2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实践类别</w:t>
            </w:r>
          </w:p>
        </w:tc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ED274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行业成熟度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F12DB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前置条件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FD11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常见失败原因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E703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与本项目 REQ 的对应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D9D0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需求采集结构化</w:t>
            </w:r>
          </w:p>
        </w:tc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A916F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901F2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字段定义稳定、有确认人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5B1F3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把抽取当确认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E938B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REQ-4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DDB54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版本与交接治理</w:t>
            </w:r>
          </w:p>
        </w:tc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F9094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中低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EF1A6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有强制卡口、有维护责任人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3C94F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只做提醒不做拦截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95F3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REQ-1、REQ-2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4AFB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异常识别与复核</w:t>
            </w:r>
          </w:p>
        </w:tc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AB54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中高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2B025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有值守人、有响应时限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6239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队列无人认领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E5DE4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REQ-3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155EB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复盘与度量</w:t>
            </w:r>
          </w:p>
        </w:tc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7EC8F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4FB62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指标口径稳定、有数据来源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3E27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只报效率不报质量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A62E8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M1–M8</w:t>
            </w:r>
          </w:p>
        </w:tc>
      </w:tr>
    </w:tbl>
    <w:p w14:paraId="4F34ADAE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5-1　四类实践对照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491"/>
        <w:gridCol w:w="1993"/>
        <w:gridCol w:w="1993"/>
      </w:tblGrid>
      <w:tr>
        <w:trPr>
          <w:tblHeader w:val="1"/>
        </w:trPr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BDDA3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失败模式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26074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典型表现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AB2B6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根因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5C44D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在本项目的预防动作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8E93F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把抽取当确认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C7D0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清单自动生成即视为需求确认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B02C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职责定义缺失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AAE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林亦舟逐项确认（f22、REQ-4）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EB762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只提醒不拦截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903FC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缺字段的交接单仍可发出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297C4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规则无强制力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E8D7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三要素缺失阻断流转（REQ-1）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17F5E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队列无人认领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4EB80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异常项挂起数日无人处理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222B0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无值守人、无时限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33CA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值守人与响应时限待定（REQ-3）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FCD8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版本号人工命名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10482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"最终版_v2_new"式文件名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E610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无系统生成规则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10CFF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版本规则与维护人待定（REQ-2）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A9EE7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写回无回滚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E2156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自动写入错误数据且无法恢复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0385F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权限与回滚未设计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D47CC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只读、不写回（f32）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697A6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只报效率不报质量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CF9C2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时长下降但错误率上升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F0401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指标体系单一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8595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M1 与 M5 成对、M6 为锚点</w:t>
            </w:r>
          </w:p>
        </w:tc>
      </w:tr>
    </w:tbl>
    <w:p w14:paraId="5E039CD7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5-2　六种失败模式与预防动作</w:t>
      </w:r>
    </w:p>
    <w:p w14:paraId="32D5FFB0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26" w:name="section-6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第六章　替代路径比较：为什么不是买平台</w:t>
      </w:r>
      <w:bookmarkEnd w:id="26"/>
    </w:p>
    <w:p w14:paraId="6778E0E0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7" w:name="s6-1"/>
      <w:r>
        <w:rPr>
          <w:rFonts w:hint="eastAsia" w:ascii="SimHei" w:hAnsi="SimHei" w:eastAsia="SimHei" w:cs="SimHei"/>
          <w:b w:val="1"/>
          <w:color w:val="1f3a5f"/>
          <w:sz w:val="27"/>
        </w:rPr>
        <w:t>6.1　四条可选路径</w:t>
      </w:r>
      <w:bookmarkEnd w:id="2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328"/>
        <w:gridCol w:w="1162"/>
        <w:gridCol w:w="2325"/>
        <w:gridCol w:w="1827"/>
      </w:tblGrid>
      <w:tr>
        <w:trPr>
          <w:tblHeader w:val="1"/>
        </w:trPr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E9127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路径</w:t>
            </w:r>
          </w:p>
        </w:tc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FF410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投入量级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F790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见效周期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E020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主要风险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99CF5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与本项目约束的匹配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CA93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采购成熟会务 SaaS</w:t>
            </w:r>
          </w:p>
        </w:tc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DAB34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高（订阅费 + 实施费）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907AD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3–6 个月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4CC63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多方可并存但对不起来；供应商绑定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ECE00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弱：改变不了 f30 的多方工具现状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752F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自建平台</w:t>
            </w:r>
          </w:p>
        </w:tc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11CF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很高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2206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6–12 个月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7051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超出预算（f03）；运维负担长期化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FE092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不匹配：四周两名骨干无法承载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5FF3F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纯制度约束（Excel + 规范）</w:t>
            </w:r>
          </w:p>
        </w:tc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F4438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低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E7338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立即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A214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依赖自觉，无卡口，复发率高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7B79B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部分匹配：缺拦截与留痕能力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6B2EC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既有工具上加轻量对齐层</w:t>
            </w:r>
          </w:p>
        </w:tc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CA844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低</w:t>
            </w:r>
          </w:p>
        </w:tc>
        <w:tc>
          <w:tcPr>
            <w:tcW w:w="116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29CC2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4 周内可验证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3F3F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覆盖面有限，依赖人工确认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7C79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强匹配：只读（f32）、试点预算内（f03）</w:t>
            </w:r>
          </w:p>
        </w:tc>
      </w:tr>
    </w:tbl>
    <w:p w14:paraId="5383ABC4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6-1　四条路径比较（周期为定性区间，B 级）</w:t>
      </w:r>
    </w:p>
    <w:p w14:paraId="788D7831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28" w:name="s6-2"/>
      <w:r>
        <w:rPr>
          <w:rFonts w:hint="eastAsia" w:ascii="SimHei" w:hAnsi="SimHei" w:eastAsia="SimHei" w:cs="SimHei"/>
          <w:b w:val="1"/>
          <w:color w:val="1f3a5f"/>
          <w:sz w:val="27"/>
        </w:rPr>
        <w:t>6.2　为什么选轻量对齐层</w:t>
      </w:r>
      <w:bookmarkEnd w:id="28"/>
    </w:p>
    <w:p w14:paraId="45FC794D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三条项目约束指向同一条路径：其一，只开放脱敏只读导出、不写回、不接外部接口（f32），这排除了任何需要写入或集成权限的方案；其二，试点预算为四周、两名骨干、每周不超过四小时（f03），折算约 32 人时，只有轻量层能在该预算内完成可验证的闭环；其三，三套既有工具无法替换（f30），方案必须以"不改变现状工具"为前提。</w:t>
      </w:r>
    </w:p>
    <w:p w14:paraId="333EC532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同时必须承认这条路径的代价：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覆盖面有限</w:t>
      </w:r>
      <w:r>
        <w:rPr>
          <w:rFonts w:hint="eastAsia" w:ascii="SimSun" w:hAnsi="SimSun" w:eastAsia="SimSun" w:cs="SimSun"/>
          <w:color w:val="1a1a1a"/>
          <w:sz w:val="24"/>
        </w:rPr>
        <w:t>——它只对齐"需求汇总—交接—复核"一段，不解决报名、结算等环节的问题；</w:t>
      </w:r>
      <w:r>
        <w:rPr>
          <w:rFonts w:hint="eastAsia" w:ascii="SimSun" w:hAnsi="SimSun" w:eastAsia="SimSun" w:cs="SimSun"/>
          <w:b w:val="1"/>
          <w:color w:val="1a1a1a"/>
          <w:sz w:val="24"/>
        </w:rPr>
        <w:t>依赖人工确认</w:t>
      </w:r>
      <w:r>
        <w:rPr>
          <w:rFonts w:hint="eastAsia" w:ascii="SimSun" w:hAnsi="SimSun" w:eastAsia="SimSun" w:cs="SimSun"/>
          <w:color w:val="1a1a1a"/>
          <w:sz w:val="24"/>
        </w:rPr>
        <w:t>——自动化收益的上限受确认人力约束。这两条代价已写入项目章程的不做清单与停止条件，不因行业数据而隐藏。</w:t>
      </w:r>
    </w:p>
    <w:p w14:paraId="79C66988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29" w:name="section-7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第七章　政策、合规与采购口径</w:t>
      </w:r>
      <w:bookmarkEnd w:id="29"/>
    </w:p>
    <w:p w14:paraId="19F518AC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0" w:name="s7-1"/>
      <w:r>
        <w:rPr>
          <w:rFonts w:hint="eastAsia" w:ascii="SimHei" w:hAnsi="SimHei" w:eastAsia="SimHei" w:cs="SimHei"/>
          <w:b w:val="1"/>
          <w:color w:val="1f3a5f"/>
          <w:sz w:val="27"/>
        </w:rPr>
        <w:t>7.1　政策导向：从买工具到买结果</w:t>
      </w:r>
      <w:bookmarkEnd w:id="30"/>
    </w:p>
    <w:p w14:paraId="5E308C35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政府采购层面对人工智能相关服务的表述，正在从"采购软件"转向"采购服务能力"，并把模型、智能体、算力等作为可计量的服务对象。这一导向带来两个变化：</w:t>
      </w:r>
    </w:p>
    <w:p w14:paraId="0FC6A773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一是采购方更关注可验证的交付结果，而非功能清单；二是计价方式趋向多样化，人天、订阅、用量、效果分成并存，需要事先约定清楚。</w:t>
      </w:r>
    </w:p>
    <w:p w14:paraId="7AE9A39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对本项目的意义：报价结构不能只给一个总价，必须说明"哪部分按确定结果计价、哪部分按投入计价、哪部分与效果挂钩"，否则在评审环节容易被追问"凭什么值这个钱"。</w:t>
      </w:r>
    </w:p>
    <w:p w14:paraId="0527648F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1" w:name="s7-2"/>
      <w:r>
        <w:rPr>
          <w:rFonts w:hint="eastAsia" w:ascii="SimHei" w:hAnsi="SimHei" w:eastAsia="SimHei" w:cs="SimHei"/>
          <w:b w:val="1"/>
          <w:color w:val="1f3a5f"/>
          <w:sz w:val="27"/>
        </w:rPr>
        <w:t>7.2　个人信息与脱敏要求</w:t>
      </w:r>
      <w:bookmarkEnd w:id="31"/>
    </w:p>
    <w:p w14:paraId="57DEB506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会议服务需求清单天然包含个人信息：嘉宾姓名、证件号、饮食禁忌、健康状况、随行安排。其中健康与证件信息属敏感个人信息，处理要求显著高于一般字段。行业做法是分层处理：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1495"/>
        <w:gridCol w:w="2824"/>
        <w:gridCol w:w="1993"/>
      </w:tblGrid>
      <w:tr>
        <w:trPr>
          <w:tblHeader w:val="1"/>
        </w:trPr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F387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数据类型</w:t>
            </w:r>
          </w:p>
        </w:tc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C0510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敏感级别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6CB6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本项目处理方式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53BAB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待确认项</w:t>
            </w:r>
          </w:p>
        </w:tc>
      </w:tr>
      <w:tr>
        <w:trPr/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B893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嘉宾姓名、职务</w:t>
            </w:r>
          </w:p>
        </w:tc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82EB4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一般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F4005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脱敏只读导出（f32）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58B1E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脱敏粒度待秦芮确认</w:t>
            </w:r>
          </w:p>
        </w:tc>
      </w:tr>
      <w:tr>
        <w:trPr/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052EB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证件号、联系方式</w:t>
            </w:r>
          </w:p>
        </w:tc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264C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敏感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CE46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不进入汇总清单明文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0F76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掩码规则待定</w:t>
            </w:r>
          </w:p>
        </w:tc>
      </w:tr>
      <w:tr>
        <w:trPr/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8D60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饮食禁忌、健康信息</w:t>
            </w:r>
          </w:p>
        </w:tc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A1F6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敏感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F0E9C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仅按需展示、不留副本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3B7D3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留存期限待定（REQ-6）</w:t>
            </w:r>
          </w:p>
        </w:tc>
      </w:tr>
      <w:tr>
        <w:trPr/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8563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供应商报价与合同</w:t>
            </w:r>
          </w:p>
        </w:tc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F40BB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商业秘密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CEC0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不纳入本期范围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66B28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</w:tbl>
    <w:p w14:paraId="0746C19E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7-1　个人信息分层处理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23a2e" w:sz="24"/>
              <w:bottom w:val="none" w:sz="8"/>
              <w:right w:val="none" w:sz="8"/>
            </w:tcBorders>
            <w:shd w:val="clear" w:fill="fbf0ee"/>
            <w:vAlign w:val="center"/>
          </w:tcPr>
          <w:p w14:paraId="1F8FFC32">
            <w:pPr>
              <w:rPr>
                <w:color w:val="7a2c24"/>
              </w:rPr>
            </w:pPr>
            <w:r>
              <w:rPr>
                <w:rFonts w:hint="eastAsia" w:ascii="SimSun" w:hAnsi="SimSun" w:eastAsia="SimSun" w:cs="SimSun"/>
                <w:color w:val="7a2c24"/>
                <w:sz w:val="21"/>
              </w:rPr>
              <w:t>边界声明：本节为方法论描述，不构成法律意见。正式试点前，脱敏规则与留存期限须经傅景留痕合规确认（REQ-6 人工确认点），并核对适用的法律法规原文。</w:t>
            </w:r>
          </w:p>
        </w:tc>
      </w:tr>
    </w:tbl>
    <w:p w14:paraId="28B1DB5F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2" w:name="s7-3"/>
      <w:r>
        <w:rPr>
          <w:rFonts w:hint="eastAsia" w:ascii="SimHei" w:hAnsi="SimHei" w:eastAsia="SimHei" w:cs="SimHei"/>
          <w:b w:val="1"/>
          <w:color w:val="1f3a5f"/>
          <w:sz w:val="27"/>
        </w:rPr>
        <w:t>7.3　六种报价方式在会展场景的适用性</w:t>
      </w:r>
      <w:bookmarkEnd w:id="3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993"/>
        <w:gridCol w:w="2657"/>
        <w:gridCol w:w="2325"/>
      </w:tblGrid>
      <w:tr>
        <w:trPr>
          <w:tblHeader w:val="1"/>
        </w:trPr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A4BC2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计价方式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3335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适用条件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B58EA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在会展服务场景的风险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5319F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本项目是否采用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21A1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人天 / T&amp;M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9EFD0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需求持续演化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D417A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无限追加，客户无法预估总额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91FF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部分采用（试点阶段，设周上限）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F4E65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功能点 / 规模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33F5F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范围清晰、可度量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6AC06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需求一变就要重算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789A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不采用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C6739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固定总价 / 整包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C62B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需求已冻结、交付物可枚举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1ECD2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范围蔓延会吃掉毛利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2DDDF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采用（诊断、设计、验收）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DAE9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订阅 / 年费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DB96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有持续运营内容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7AE7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一次性交付无持续价值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547F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不采用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DC27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用量计费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78AEB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用量与业务量强相关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C62DF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客户不可控，必须封顶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BC252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不采用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E190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效果付费 / 分成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0FBB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结果可度量、归因清晰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D3E8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基线不稳时归因扯皮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915C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部分采用（浮动封顶，不做分成）</w:t>
            </w:r>
          </w:p>
        </w:tc>
      </w:tr>
    </w:tbl>
    <w:p w14:paraId="0B542D73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7-2　六种计价方式比较</w:t>
      </w:r>
    </w:p>
    <w:p w14:paraId="0B59E901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结论：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混合计价是唯一可行解。</w:t>
      </w:r>
      <w:r>
        <w:rPr>
          <w:rFonts w:hint="eastAsia" w:ascii="SimSun" w:hAnsi="SimSun" w:eastAsia="SimSun" w:cs="SimSun"/>
          <w:color w:val="1a1a1a"/>
          <w:sz w:val="24"/>
        </w:rPr>
        <w:t>确定性高的阶段报总价，会演化的阶段按人天并设上限，可度量的结果挂浮动且封顶。单一计价方式在本项目都会留下争议口子。</w:t>
      </w:r>
    </w:p>
    <w:p w14:paraId="224E183C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33" w:name="section-8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第八章　对本项目的六条启示</w:t>
      </w:r>
      <w:bookmarkEnd w:id="33"/>
    </w:p>
    <w:p w14:paraId="23A68CB2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8.1　先补录入规范，再谈自动化</w:t>
      </w:r>
    </w:p>
    <w:p w14:paraId="13B3D3E0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行业经验显示，结构化程度不足时上自动化，只会把混乱放大。本项目每场约 70 项服务项的人工登记（f12，虚构样本）中，设备与语言由两人分别记录（f10），这是结构问题，不是效率问题。方案必须先解决"谁录、录一次"，再谈"自动汇总"。</w:t>
      </w:r>
    </w:p>
    <w:p w14:paraId="6D0CF812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8.2　拦截优先于提醒</w:t>
      </w:r>
    </w:p>
    <w:p w14:paraId="635F73D2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外部失败案例的高频根因是规则只有提醒没有拦截。缺字段的交接单照发、错版本的清单照用，提醒被忽略后损失照常发生。REQ-1 与 REQ-2 的卡口必须是"不满足条件就无法进入下一步"，且卡口规则的维护人要落到具体岗位（REQ-2 待顾明岚确认）。</w:t>
      </w:r>
    </w:p>
    <w:p w14:paraId="034A02C9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8.3　只读优先，写回是高风险前置</w:t>
      </w:r>
    </w:p>
    <w:p w14:paraId="20855A5F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外部失败案例中，相当一部分源于过早引入写回与外部接口：权限未理清、责任未界定、出错后无法回滚。本项目已明确只开放脱敏只读导出（f32），这一约束与行业经验一致，不应在试点期放宽。</w:t>
      </w:r>
    </w:p>
    <w:p w14:paraId="0473E21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8.4　质量指标优先于效率指标</w:t>
      </w:r>
    </w:p>
    <w:p w14:paraId="134610BF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效率指标的改善可以由多种原因造成，质量指标不能。50 个服务项全部具备责任人与确认状态（f42），是一个不可争辩的验收口径，应作为唯一硬指标（M6），其余指标作为过程观测；M1 与 M5 成对呈现，防止"时长降了、返工升了"的假改善。</w:t>
      </w:r>
    </w:p>
    <w:p w14:paraId="498F6C56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8.5　按结果浮动，不按用量</w:t>
      </w:r>
    </w:p>
    <w:p w14:paraId="7646E8C1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Token 或调用次数计费在客户侧不可控，容易在结算时产生争议；纯效果分成则因基线未测而无法归因。可行做法是基础费加封顶浮动，触发条件写清可验证的指标（如确认完整率 100%）。</w:t>
      </w:r>
    </w:p>
    <w:p w14:paraId="2D311DF6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8.6　试点规模服从合同约束</w:t>
      </w:r>
    </w:p>
    <w:p w14:paraId="0E31062A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行业惯例是先窄后宽：先在一个批次内跑通闭环，再谈扩展。本项目 32 人时的试点预算（f03 推算）下，50 个服务项能否全覆盖已被业务负责人判断为有风险；方案设计应预设"全量验收或分批验收"两个口径，在立项确认时由顾明岚拍板，而不是试点中途被动调整。</w:t>
      </w:r>
    </w:p>
    <w:p w14:paraId="4807C8CD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34" w:name="section-9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第九章　证据边界、待核实项与来源清单</w:t>
      </w:r>
      <w:bookmarkEnd w:id="34"/>
    </w:p>
    <w:p w14:paraId="0D3E2BBA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5" w:name="s9-1"/>
      <w:r>
        <w:rPr>
          <w:rFonts w:hint="eastAsia" w:ascii="SimHei" w:hAnsi="SimHei" w:eastAsia="SimHei" w:cs="SimHei"/>
          <w:b w:val="1"/>
          <w:color w:val="1f3a5f"/>
          <w:sz w:val="27"/>
        </w:rPr>
        <w:t>9.1　本报告数据的可用范围</w:t>
      </w:r>
      <w:bookmarkEnd w:id="3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830"/>
        <w:gridCol w:w="1661"/>
        <w:gridCol w:w="3322"/>
      </w:tblGrid>
      <w:tr>
        <w:trPr>
          <w:tblHeader w:val="1"/>
        </w:trPr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DB3F0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内容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103B6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级别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AFCAD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可否进入收益测算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302EF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说明</w:t>
            </w:r>
          </w:p>
        </w:tc>
      </w:tr>
      <w:tr>
        <w:trPr/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837D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行业规模、展馆数量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D8210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B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74918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A1CC9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口径不统一，仅作背景</w:t>
            </w:r>
          </w:p>
        </w:tc>
      </w:tr>
      <w:tr>
        <w:trPr/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8F07F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数字化渗透率 28% / 67%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F7BFC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B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5E774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F66ED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定义冲突，已作辨析</w:t>
            </w:r>
          </w:p>
        </w:tc>
      </w:tr>
      <w:tr>
        <w:trPr/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A82C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AI 工具使用比例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4C89F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F339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381A8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供应商与媒体口径，样本不明</w:t>
            </w:r>
          </w:p>
        </w:tc>
      </w:tr>
      <w:tr>
        <w:trPr/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DA33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四类实践的做法描述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61C3F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749A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是（做法层面）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578D5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做法可借鉴，数值不可引用</w:t>
            </w:r>
          </w:p>
        </w:tc>
      </w:tr>
      <w:tr>
        <w:trPr/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B11DF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政策与计价导向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6E61D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05B8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是（结构层面）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036F0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影响报价结构，不影响金额</w:t>
            </w:r>
          </w:p>
        </w:tc>
      </w:tr>
      <w:tr>
        <w:trPr/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F2EF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本项目 30.8 人时/场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4A5E1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项目内部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E1D8E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  <w:tc>
          <w:tcPr>
            <w:tcW w:w="3322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BEADF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其中仅 f12 为虚构样本</w:t>
            </w:r>
          </w:p>
        </w:tc>
      </w:tr>
    </w:tbl>
    <w:p w14:paraId="1EA1D459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9-1　本报告全部结论的证据级别与可用边界</w:t>
      </w:r>
    </w:p>
    <w:p w14:paraId="7432EA1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6" w:name="s9-2"/>
      <w:r>
        <w:rPr>
          <w:rFonts w:hint="eastAsia" w:ascii="SimHei" w:hAnsi="SimHei" w:eastAsia="SimHei" w:cs="SimHei"/>
          <w:b w:val="1"/>
          <w:color w:val="1f3a5f"/>
          <w:sz w:val="27"/>
        </w:rPr>
        <w:t>9.2　仍需补充的证据</w:t>
      </w:r>
      <w:bookmarkEnd w:id="36"/>
    </w:p>
    <w:p w14:paraId="1A7D6113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以下四项在本报告完成时仍为空缺，需在下一阶段补齐。</w:t>
      </w:r>
    </w:p>
    <w:p w14:paraId="157A418D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可比的同规模企业案例。</w:t>
      </w:r>
      <w:r>
        <w:rPr>
          <w:rFonts w:hint="eastAsia" w:ascii="SimSun" w:hAnsi="SimSun" w:eastAsia="SimSun" w:cs="SimSun"/>
          <w:color w:val="1a1a1a"/>
          <w:sz w:val="24"/>
        </w:rPr>
        <w:t>目前只有做法层面的描述，缺少"同规模、同业务类型"的具体实施结果，无法支撑"我们也能做到"的判断。</w:t>
      </w:r>
    </w:p>
    <w:p w14:paraId="08281CC2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第二，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细分市场的准确规模。</w:t>
      </w:r>
      <w:r>
        <w:rPr>
          <w:rFonts w:hint="eastAsia" w:ascii="SimSun" w:hAnsi="SimSun" w:eastAsia="SimSun" w:cs="SimSun"/>
          <w:color w:val="1a1a1a"/>
          <w:sz w:val="24"/>
        </w:rPr>
        <w:t>本项目所属的会议服务细分（而非整个会展业）规模、增速与集中度均无可靠数据。</w:t>
      </w:r>
    </w:p>
    <w:p w14:paraId="709A4865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第三，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行业内同类项目的实际投入产出。</w:t>
      </w:r>
      <w:r>
        <w:rPr>
          <w:rFonts w:hint="eastAsia" w:ascii="SimSun" w:hAnsi="SimSun" w:eastAsia="SimSun" w:cs="SimSun"/>
          <w:color w:val="1a1a1a"/>
          <w:sz w:val="24"/>
        </w:rPr>
        <w:t>缺少公开可核查的投入金额与回收周期，任何 ROI 表述都只能是本项目的自测算。</w:t>
      </w:r>
    </w:p>
    <w:p w14:paraId="13AACC30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第四，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政策文件的原文与适用性。</w:t>
      </w:r>
      <w:r>
        <w:rPr>
          <w:rFonts w:hint="eastAsia" w:ascii="SimSun" w:hAnsi="SimSun" w:eastAsia="SimSun" w:cs="SimSun"/>
          <w:color w:val="1a1a1a"/>
          <w:sz w:val="24"/>
        </w:rPr>
        <w:t>本报告对政策导向的表述来自二手转述，需核对原文条款及其对民营企业采购的适用边界。</w:t>
      </w:r>
    </w:p>
    <w:p w14:paraId="03839382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7" w:name="s9-3"/>
      <w:r>
        <w:rPr>
          <w:rFonts w:hint="eastAsia" w:ascii="SimHei" w:hAnsi="SimHei" w:eastAsia="SimHei" w:cs="SimHei"/>
          <w:b w:val="1"/>
          <w:color w:val="1f3a5f"/>
          <w:sz w:val="27"/>
        </w:rPr>
        <w:t>9.3　来源清单</w:t>
      </w:r>
      <w:bookmarkEnd w:id="3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990"/>
        <w:gridCol w:w="830"/>
        <w:gridCol w:w="2657"/>
      </w:tblGrid>
      <w:tr>
        <w:trPr>
          <w:tblHeader w:val="1"/>
        </w:trPr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3A887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来源类型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AF03B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本报告中的用途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A427D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级别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1343F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备注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D4AD5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行业协会年度统计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D79C3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展览面积、场次等规模数据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8F564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B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BDE76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不同协会口径不一，未采信单一数值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1A4D0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政府主管部门公开数据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CBBE0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行业政策方向表述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63799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B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4CA0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原文条款待核对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E17A5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第三方咨询机构报告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D833C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数字化渗透率、趋势判断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4FE25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B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EDD86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28% 与 67% 两个口径已作辨析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FAC9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供应商公开案例与白皮书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93C81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AI 实践做法描述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EA76B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5DDF2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仅取做法方向，不取宣传数值</w:t>
            </w:r>
          </w:p>
        </w:tc>
      </w:tr>
      <w:tr>
        <w:trPr/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36D4C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本项目访谈与流程文档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7E04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f 编号全部证据</w:t>
            </w:r>
          </w:p>
        </w:tc>
        <w:tc>
          <w:tcPr>
            <w:tcW w:w="83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8485E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项目内部</w:t>
            </w:r>
          </w:p>
        </w:tc>
        <w:tc>
          <w:tcPr>
            <w:tcW w:w="265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0C8AB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 f12 为虚构样本，其余为访谈事实</w:t>
            </w:r>
          </w:p>
        </w:tc>
      </w:tr>
    </w:tbl>
    <w:p w14:paraId="7D11C074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9-2　来源类型清单（具体报告名称、年份与链接待下一阶段补齐）</w:t>
      </w:r>
    </w:p>
    <w:p w14:paraId="28F141D9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bookmarkStart w:id="38" w:name="s9-4"/>
      <w:r>
        <w:rPr>
          <w:rFonts w:hint="eastAsia" w:ascii="SimHei" w:hAnsi="SimHei" w:eastAsia="SimHei" w:cs="SimHei"/>
          <w:b w:val="1"/>
          <w:color w:val="1f3a5f"/>
          <w:sz w:val="27"/>
        </w:rPr>
        <w:t>9.4　结论</w:t>
      </w:r>
      <w:bookmarkEnd w:id="38"/>
    </w:p>
    <w:p w14:paraId="3BC7B33A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行业分析能够支撑的是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方向判断</w:t>
      </w:r>
      <w:r>
        <w:rPr>
          <w:rFonts w:hint="eastAsia" w:ascii="SimSun" w:hAnsi="SimSun" w:eastAsia="SimSun" w:cs="SimSun"/>
          <w:color w:val="1a1a1a"/>
          <w:sz w:val="24"/>
        </w:rPr>
        <w:t>：结构化优先于自动化、拦截优先于提醒、质量指标优先于效率指标、混合计价优先于单一计价、轻量对齐层优先于平台重建。这五条与本项目前序阶段的设计选择一致，构成外部佐证。</w:t>
      </w:r>
    </w:p>
    <w:p w14:paraId="6EA10433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行业分析不能支撑的是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数值判断</w:t>
      </w:r>
      <w:r>
        <w:rPr>
          <w:rFonts w:hint="eastAsia" w:ascii="SimSun" w:hAnsi="SimSun" w:eastAsia="SimSun" w:cs="SimSun"/>
          <w:color w:val="1a1a1a"/>
          <w:sz w:val="24"/>
        </w:rPr>
        <w:t>：任何以行业均值推算本项目收益的做法都不成立。项目收益只能用本项目样本测量，这一点不因行业数据而改变。</w:t>
      </w:r>
    </w:p>
    <w:p w14:paraId="6678DE4D">
      <w:pPr>
        <w:pStyle w:val="000001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39" w:name="section-a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附录 A　术语与口径对照</w:t>
      </w:r>
      <w:bookmarkEnd w:id="3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3654"/>
        <w:gridCol w:w="2990"/>
      </w:tblGrid>
      <w:tr>
        <w:trPr>
          <w:tblHeader w:val="1"/>
        </w:trPr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478CB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术语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71EF1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含义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4A922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20"/>
              </w:rPr>
              <w:t>在本项目中的口径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FC69E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MICE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0CA1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会议（Meetings）、奖励旅游（Incentives）、大会（Conventions）、展览（Exhibitions）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A71D6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本项目所属行业大类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68CEE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DMC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4A878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目的地管理公司，提供地接与执行服务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BB86E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本项目主体的业务类型近似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B8DD6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需求汇总清单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28C93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将多方需求合并为逐项可执行的服务项清单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7E83E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50 个服务项（f42）为验收口径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8CABB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交接单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9C78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工作在角色间转移时的凭证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4A856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须含接收人、版本、未结项三要素（f20）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BA8E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人工队列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1CEFC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系统无法判定的事项进入的待人工处理区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7730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不得默认通过（f44）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E165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确认完整率（M6）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0CF29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已确认服务项数 / 服务项总数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6842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唯一硬验收指标，目标 100%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3D7B3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人时 / 人天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E720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工时单位，1 人天按 8 人时折算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CD688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现状 30.8 人时/场 ≈ 3.9 人天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3DFE8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四来源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5324E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客户、一线、流程、行业（Industry）四类证据来源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21254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行业来源由本报告补位</w:t>
            </w:r>
          </w:p>
        </w:tc>
      </w:tr>
    </w:tbl>
    <w:p w14:paraId="4784492C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A-1　术语与口径对照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8c99a5" w:sz="24"/>
              <w:bottom w:val="none" w:sz="8"/>
              <w:right w:val="none" w:sz="8"/>
            </w:tcBorders>
            <w:shd w:val="clear" w:fill="f4f6f8"/>
            <w:vAlign w:val="center"/>
          </w:tcPr>
          <w:p w14:paraId="75FD694D">
            <w:pPr>
              <w:rPr>
                <w:color w:val="40484f"/>
              </w:rPr>
            </w:pPr>
            <w:r>
              <w:rPr>
                <w:rFonts w:hint="eastAsia" w:ascii="SimSun" w:hAnsi="SimSun" w:eastAsia="SimSun" w:cs="SimSun"/>
                <w:color w:val="40484f"/>
                <w:sz w:val="21"/>
              </w:rPr>
              <w:t>本文档为合成业务场景演练材料，行业数据取自公开报告整理，仅用于方法演示，不代表真实客户调研结论，也不构成任何投资或采购建议。</w:t>
            </w:r>
          </w:p>
        </w:tc>
      </w:tr>
    </w:tbl>
    <w:p w14:paraId="7D1A08CC">
      <w:pPr>
        <w:sectPr>
          <w:headerReference r:id="rId4" w:type="default"/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2D51EDF">
      <w:pPr/>
    </w:p>
    <w:sectPr>
      <w:headerReference r:id="rId4" w:type="default"/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696880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9979F22">
    <w:pPr>
      <w:jc w:val="center"/>
    </w:pPr>
    <w:r>
      <w:rPr>
        <w:rFonts w:hint="eastAsia"/>
      </w:rPr>
      <w:t>会议活动服务行业数字化与人工智能应用分析</w:t>
    </w:r>
  </w:p>
</w:hd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7" w:semiHidden="1" w:unhideWhenUsed="1"/>
    <w:lsdException w:name="toc 1" w:uiPriority="39" w:semiHidden="1" w:unhideWhenUsed="1"/>
    <w:lsdException w:name="line number" w:semiHidden="1" w:unhideWhenUsed="1"/>
    <w:lsdException w:name="FollowedHyperlink" w:semiHidden="1" w:unhideWhenUsed="1"/>
    <w:lsdException w:name="List Bullet 5" w:semiHidden="1" w:unhideWhenUsed="1"/>
    <w:lsdException w:name="endnote text" w:semiHidden="1" w:unhideWhenUsed="1"/>
    <w:lsdException w:name="List Continue" w:semiHidden="1" w:unhideWhenUsed="1"/>
    <w:lsdException w:name="heading 7" w:uiPriority="9" w:semiHidden="1" w:unhideWhenUsed="1" w:qFormat="1"/>
    <w:lsdException w:name="footer" w:semiHidden="1" w:unhideWhenUsed="1"/>
    <w:lsdException w:name="page number" w:semiHidden="1" w:unhideWhenUsed="1"/>
    <w:lsdException w:name="Message Header" w:semiHidden="1" w:unhideWhenUsed="1"/>
    <w:lsdException w:name="Hyperlink" w:semiHidden="1" w:unhideWhenUsed="1"/>
    <w:lsdException w:name="annotation reference" w:semiHidden="1" w:unhideWhenUsed="1"/>
    <w:lsdException w:name="footnote reference" w:semiHidden="1" w:unhideWhenUsed="1"/>
    <w:lsdException w:name="heading 5" w:uiPriority="9" w:semiHidden="1" w:unhideWhenUsed="1" w:qFormat="1"/>
    <w:lsdException w:name="Body Text" w:semiHidden="1" w:unhideWhenUsed="1"/>
    <w:lsdException w:name="envelope return" w:semiHidden="1" w:unhideWhenUsed="1"/>
    <w:lsdException w:name="List Continue 3" w:semiHidden="1" w:unhideWhenUsed="1"/>
    <w:lsdException w:name="List Continue 5" w:semiHidden="1" w:unhideWhenUsed="1"/>
    <w:lsdException w:name="index 1" w:semiHidden="1" w:unhideWhenUsed="1"/>
    <w:lsdException w:name="List 3" w:semiHidden="1" w:unhideWhenUsed="1"/>
    <w:lsdException w:name="toc 7" w:uiPriority="39" w:semiHidden="1" w:unhideWhenUsed="1"/>
    <w:lsdException w:name="List 4" w:semiHidden="1" w:unhideWhenUsed="1"/>
    <w:lsdException w:name="table of authorities" w:semiHidden="1" w:unhideWhenUsed="1"/>
    <w:lsdException w:name="Body Text 3" w:semiHidden="1" w:unhideWhenUsed="1"/>
    <w:lsdException w:name="List Bullet 2" w:semiHidden="1" w:unhideWhenUsed="1"/>
    <w:lsdException w:name="Salutation" w:semiHidden="1" w:unhideWhenUsed="1"/>
    <w:lsdException w:name="Body Text First Indent" w:semiHidden="1" w:unhideWhenUsed="1"/>
    <w:lsdException w:name="heading 2" w:uiPriority="9" w:semiHidden="1" w:unhideWhenUsed="1" w:qFormat="1"/>
    <w:lsdException w:name="Note Heading" w:semiHidden="1" w:unhideWhenUsed="1"/>
    <w:lsdException w:name="List" w:semiHidden="1" w:unhideWhenUsed="1"/>
    <w:lsdException w:name="toc 5" w:uiPriority="39" w:semiHidden="1" w:unhideWhenUsed="1"/>
    <w:lsdException w:name="Body Text First Indent 2" w:semiHidden="1" w:unhideWhenUsed="1"/>
    <w:lsdException w:name="caption" w:uiPriority="35" w:semiHidden="1" w:unhideWhenUsed="1" w:qFormat="1"/>
    <w:lsdException w:name="endnote reference" w:semiHidden="1" w:unhideWhenUsed="1"/>
    <w:lsdException w:name="List Bullet" w:semiHidden="1" w:unhideWhenUsed="1"/>
    <w:lsdException w:name="List Number 2" w:semiHidden="1" w:unhideWhenUsed="1"/>
    <w:lsdException w:name="heading 6" w:uiPriority="9" w:semiHidden="1" w:unhideWhenUsed="1" w:qFormat="1"/>
    <w:lsdException w:name="heading 1" w:uiPriority="9" w:qFormat="1"/>
    <w:lsdException w:name="Body Text Indent 3" w:semiHidden="1" w:unhideWhenUsed="1"/>
    <w:lsdException w:name="Normal" w:uiPriority="0" w:qFormat="1"/>
    <w:lsdException w:name="annotation text" w:semiHidden="1" w:unhideWhenUsed="1"/>
    <w:lsdException w:name="toc 2" w:uiPriority="39" w:semiHidden="1" w:unhideWhenUsed="1"/>
    <w:lsdException w:name="index 4" w:semiHidden="1" w:unhideWhenUsed="1"/>
    <w:lsdException w:name="toa heading" w:semiHidden="1" w:unhideWhenUsed="1"/>
    <w:lsdException w:name="index heading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List 2" w:semiHidden="1" w:unhideWhenUsed="1"/>
    <w:lsdException w:name="List 5" w:semiHidden="1" w:unhideWhenUsed="1"/>
    <w:lsdException w:name="List Number" w:semiHidden="1" w:unhideWhenUsed="1"/>
    <w:lsdException w:name="Closing" w:semiHidden="1" w:unhideWhenUsed="1"/>
    <w:lsdException w:name="Normal Indent" w:semiHidden="1" w:unhideWhenUsed="1"/>
    <w:lsdException w:name="List Continue 4" w:semiHidden="1" w:unhideWhenUsed="1"/>
    <w:lsdException w:name="List Number 5" w:semiHidden="1" w:unhideWhenUsed="1"/>
    <w:lsdException w:name="List Number 3" w:semiHidden="1" w:unhideWhenUsed="1"/>
    <w:lsdException w:name="Date" w:semiHidden="1" w:unhideWhenUsed="1"/>
    <w:lsdException w:name="toc 8" w:uiPriority="39" w:semiHidden="1" w:unhideWhenUsed="1"/>
    <w:lsdException w:name="toc 3" w:uiPriority="39" w:semiHidden="1" w:unhideWhenUsed="1"/>
    <w:lsdException w:name="index 8" w:semiHidden="1" w:unhideWhenUsed="1"/>
    <w:lsdException w:name="envelope address" w:semiHidden="1" w:unhideWhenUsed="1"/>
    <w:lsdException w:name="index 5" w:semiHidden="1" w:unhideWhenUsed="1"/>
    <w:lsdException w:name="List Bullet 3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footnote text" w:semiHidden="1" w:unhideWhenUsed="1"/>
    <w:lsdException w:name="Body Text 2" w:semiHidden="1" w:unhideWhenUsed="1"/>
    <w:lsdException w:name="index 3" w:semiHidden="1" w:unhideWhenUsed="1"/>
    <w:lsdException w:name="Body Text Indent" w:semiHidden="1" w:unhideWhenUsed="1"/>
    <w:lsdException w:name="index 6" w:semiHidden="1" w:unhideWhenUsed="1"/>
    <w:lsdException w:name="toc 9" w:uiPriority="39" w:semiHidden="1" w:unhideWhenUsed="1"/>
    <w:lsdException w:name="toc 4" w:uiPriority="39" w:semiHidden="1" w:unhideWhenUsed="1"/>
    <w:lsdException w:name="index 9" w:semiHidden="1" w:unhideWhenUsed="1"/>
    <w:lsdException w:name="List Bullet 4" w:semiHidden="1" w:unhideWhenUsed="1"/>
    <w:lsdException w:name="index 2" w:semiHidden="1" w:unhideWhenUsed="1"/>
    <w:lsdException w:name="Block Text" w:semiHidden="1" w:unhideWhenUsed="1"/>
    <w:lsdException w:name="Body Text Indent 2" w:semiHidden="1" w:unhideWhenUsed="1"/>
    <w:lsdException w:name="Strong" w:uiPriority="22" w:qFormat="1"/>
    <w:lsdException w:name="Default Paragraph Font" w:uiPriority="1" w:semiHidden="1" w:unhideWhenUsed="1"/>
    <w:lsdException w:name="Title" w:uiPriority="10" w:qFormat="1"/>
    <w:lsdException w:name="List Continue 2" w:semiHidden="1" w:unhideWhenUsed="1"/>
    <w:lsdException w:name="Subtitle" w:uiPriority="11" w:qFormat="1"/>
    <w:lsdException w:name="macro" w:semiHidden="1" w:unhideWhenUsed="1"/>
    <w:lsdException w:name="Signature" w:semiHidden="1" w:unhideWhenUsed="1"/>
    <w:lsdException w:name="header" w:semiHidden="1" w:unhideWhenUsed="1"/>
    <w:lsdException w:name="List Number 4" w:semiHidden="1" w:unhideWhenUsed="1"/>
    <w:lsdException w:name="table of figures" w:semiHidden="1" w:unhideWhenUsed="1"/>
    <w:lsdException w:name="toc 6" w:uiPriority="39" w:semiHidden="1" w:unhideWhenUsed="1"/>
  </w:latentStyles>
  <w:style w:type="paragraph" w:styleId="000005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2026-10-23T19:30:35Z</dcterms:created>
  <dcterms:modified xsi:type="dcterms:W3CDTF">2026-10-23T19:30:35Z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"01a166c09a2d72d98915d043bd362d5d", "ReservedCode1": "", "ContentPropagator": "00119111010856365494821B355", "PropagateID": "01a166c09a2d72d98915d043bd362d5d", "ReservedCode2": ""}}</vt:lpwstr>
  </property>
</Properties>
</file>