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53DBC6B">
      <w:pPr>
        <w:pBdr>
          <w:top w:space="130"/>
        </w:pBdr>
        <w:spacing w:after="440" w:line="432"/>
        <w:jc w:val="both"/>
        <w:rPr>
          <w:color w:val="b23a2e"/>
        </w:rPr>
      </w:pPr>
      <w:r>
        <w:rPr>
          <w:rFonts w:hint="eastAsia" w:ascii="SimHei" w:hAnsi="SimHei" w:eastAsia="SimHei" w:cs="SimHei"/>
          <w:color w:val="b23a2e"/>
          <w:spacing w:val="60"/>
          <w:sz w:val="22"/>
        </w:rPr>
        <w:t>设计方案 ｜ SOLUTION OPTIONS</w:t>
      </w:r>
    </w:p>
    <w:p w14:paraId="75000D43">
      <w:pPr>
        <w:pBdr>
          <w:top w:space="130"/>
        </w:pBdr>
        <w:spacing w:line="348"/>
        <w:jc w:val="both"/>
        <w:rPr>
          <w:color w:val="1f3a5f"/>
        </w:rPr>
      </w:pPr>
      <w:r>
        <w:rPr>
          <w:rFonts w:hint="eastAsia" w:ascii="SimHei" w:hAnsi="SimHei" w:eastAsia="SimHei" w:cs="SimHei"/>
          <w:b w:val="1"/>
          <w:color w:val="1f3a5f"/>
          <w:sz w:val="60"/>
        </w:rPr>
        <w:t>会议活动服务需求汇总</w:t>
      </w:r>
      <w:r>
        <w:br w:type="textWrapping"/>
      </w:r>
      <w:r>
        <w:rPr>
          <w:rFonts w:hint="eastAsia" w:ascii="SimHei" w:hAnsi="SimHei" w:eastAsia="SimHei" w:cs="SimHei"/>
          <w:b w:val="1"/>
          <w:color w:val="1f3a5f"/>
          <w:sz w:val="60"/>
        </w:rPr>
        <w:t>三案设计方案</w:t>
      </w:r>
    </w:p>
    <w:p w14:paraId="110009EE">
      <w:pPr>
        <w:pBdr>
          <w:top w:space="130"/>
        </w:pBdr>
        <w:spacing w:line="408"/>
        <w:jc w:val="both"/>
        <w:rPr>
          <w:color w:val="55616b"/>
        </w:rPr>
      </w:pPr>
      <w:r>
        <w:rPr>
          <w:rFonts w:hint="eastAsia" w:ascii="SimSun" w:hAnsi="SimSun" w:eastAsia="SimSun" w:cs="SimSun"/>
          <w:color w:val="55616b"/>
          <w:sz w:val="26"/>
        </w:rPr>
        <w:t>方案 A 缺项清单 ｜ 方案 B 版本与交接卡口 ｜ 方案 C 端到端编排</w:t>
      </w:r>
      <w:r>
        <w:br w:type="textWrapping"/>
      </w:r>
      <w:r>
        <w:rPr>
          <w:rFonts w:hint="eastAsia" w:ascii="SimSun" w:hAnsi="SimSun" w:eastAsia="SimSun" w:cs="SimSun"/>
          <w:color w:val="55616b"/>
          <w:sz w:val="26"/>
        </w:rPr>
        <w:t>含对比矩阵、推荐路径与四周实施计划</w:t>
      </w:r>
    </w:p>
    <w:p w14:paraId="743C8424">
      <w:pPr>
        <w:pBdr>
          <w:top w:space="130"/>
        </w:pBdr>
        <w:spacing w:line="504"/>
        <w:jc w:val="both"/>
        <w:rPr>
          <w:color w:val="55616b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5616b"/>
          <w:sz w:val="21"/>
        </w:rPr>
        <w:t xml:space="preserve"> 项目：会议活动服务需求汇总</w:t>
      </w:r>
      <w:r>
        <w:br w:type="textWrapping"/>
      </w:r>
      <w:r>
        <w:rPr>
          <w:rFonts w:hint="eastAsia" w:ascii="SimSun" w:hAnsi="SimSun" w:eastAsia="SimSun" w:cs="SimSun"/>
          <w:color w:val="55616b"/>
          <w:sz w:val="21"/>
        </w:rPr>
        <w:t xml:space="preserve"> 依据：REQ-1 至 REQ-6、事件卡 E-01、指标口径 M1 至 M8</w:t>
      </w:r>
      <w:r>
        <w:br w:type="textWrapping"/>
      </w:r>
      <w:r>
        <w:rPr>
          <w:rFonts w:hint="eastAsia" w:ascii="SimSun" w:hAnsi="SimSun" w:eastAsia="SimSun" w:cs="SimSun"/>
          <w:color w:val="55616b"/>
          <w:sz w:val="21"/>
        </w:rPr>
        <w:t xml:space="preserve"> 版本：v1.0　　编制日期：2026 年 10 月 23 日 </w:t>
      </w:r>
    </w:p>
    <w:p w14:paraId="6D593A62">
      <w:pPr>
        <w:spacing w:before="240" w:after="120"/>
      </w:pPr>
      <w:r>
        <w:rPr>
          <w:rFonts w:hint="eastAsia"/>
          <w:b w:val="1"/>
        </w:rPr>
        <w:t>目　录</w:t>
      </w:r>
    </w:p>
    <w:p w14:paraId="67FD68D0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第一章　设计前提与约束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166DA4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第二章　方案 A：缺项清单（最小可行）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9795AD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第三章　方案 B：版本与交接卡口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E746BD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第四章　方案 C：端到端编排（暂缓）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F9381D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第五章　三案对比与推荐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3BC430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第六章　实施计划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A47CDC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第七章　未决问题与前置条件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BF280C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55B4BD0">
      <w:pPr>
        <w:pStyle w:val="000004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第一章　设计前提与约束</w:t>
      </w:r>
      <w:bookmarkEnd w:id="1"/>
    </w:p>
    <w:p w14:paraId="3BECDB2F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1.1　从六条需求到三个方案</w:t>
      </w:r>
    </w:p>
    <w:p w14:paraId="07DCDE26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前序阶段提出六条需求，若逐条实现会形成六个互相耦合的小改动，既难验收也难以判断失败原因。本设计将它们归并为三个方案，每个方案是一组可独立上线、可独立验收的能力集合。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3156"/>
        <w:gridCol w:w="2990"/>
      </w:tblGrid>
      <w:tr>
        <w:trPr>
          <w:tblHeader w:val="1"/>
        </w:trPr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0C014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方案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9AD0B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覆盖需求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924FF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解决的核心问题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D7BBB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方案 A　缺项清单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BEF47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REQ-4、REQ-6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00444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一线看不到"缺什么、从哪来"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4BE15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方案 B　版本与交接卡口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49978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REQ-1、REQ-2、REQ-3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80C87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责任在交接处断开、版本靠猜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D7B6A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方案 C　端到端编排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C991D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REQ-5 及跨系统协同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1202D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三套工具无统一编号，需写回打通</w:t>
            </w:r>
          </w:p>
        </w:tc>
      </w:tr>
    </w:tbl>
    <w:p w14:paraId="73F8EB95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1-1　需求与方案的归并关系</w:t>
      </w:r>
    </w:p>
    <w:p w14:paraId="1AC95A8F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1.2　不可突破的五条约束</w:t>
      </w:r>
    </w:p>
    <w:p w14:paraId="4A00D02C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以下五条来自访谈与项目章程，任何方案设计都不得绕过。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8"/>
        <w:gridCol w:w="3820"/>
        <w:gridCol w:w="3986"/>
      </w:tblGrid>
      <w:tr>
        <w:trPr>
          <w:tblHeader w:val="1"/>
        </w:trPr>
        <w:tc>
          <w:tcPr>
            <w:tcW w:w="49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CBECE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编号</w:t>
            </w:r>
          </w:p>
        </w:tc>
        <w:tc>
          <w:tcPr>
            <w:tcW w:w="382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95C48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约束</w:t>
            </w:r>
          </w:p>
        </w:tc>
        <w:tc>
          <w:tcPr>
            <w:tcW w:w="398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DFE42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依据</w:t>
            </w:r>
          </w:p>
        </w:tc>
      </w:tr>
      <w:tr>
        <w:trPr/>
        <w:tc>
          <w:tcPr>
            <w:tcW w:w="49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A567D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C1</w:t>
            </w:r>
          </w:p>
        </w:tc>
        <w:tc>
          <w:tcPr>
            <w:tcW w:w="382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FA882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只开放脱敏只读导出，不做写回、不开放外部接口</w:t>
            </w:r>
          </w:p>
        </w:tc>
        <w:tc>
          <w:tcPr>
            <w:tcW w:w="398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ACC51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f32 明确边界；行业分析亦指出写回是高风险前置</w:t>
            </w:r>
          </w:p>
        </w:tc>
      </w:tr>
      <w:tr>
        <w:trPr/>
        <w:tc>
          <w:tcPr>
            <w:tcW w:w="49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B61CA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C2</w:t>
            </w:r>
          </w:p>
        </w:tc>
        <w:tc>
          <w:tcPr>
            <w:tcW w:w="382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DD2AC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不自动邀请真实嘉宾、不发布会议安排、不确认敏感个人需求</w:t>
            </w:r>
          </w:p>
        </w:tc>
        <w:tc>
          <w:tcPr>
            <w:tcW w:w="398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92A27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f05、f52</w:t>
            </w:r>
          </w:p>
        </w:tc>
      </w:tr>
      <w:tr>
        <w:trPr/>
        <w:tc>
          <w:tcPr>
            <w:tcW w:w="49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AB1DA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C3</w:t>
            </w:r>
          </w:p>
        </w:tc>
        <w:tc>
          <w:tcPr>
            <w:tcW w:w="382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9E160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无法确认版本或关键字段时进入人工队列，不得默认通过</w:t>
            </w:r>
          </w:p>
        </w:tc>
        <w:tc>
          <w:tcPr>
            <w:tcW w:w="398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805FB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f44</w:t>
            </w:r>
          </w:p>
        </w:tc>
      </w:tr>
      <w:tr>
        <w:trPr/>
        <w:tc>
          <w:tcPr>
            <w:tcW w:w="49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AEE7F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C4</w:t>
            </w:r>
          </w:p>
        </w:tc>
        <w:tc>
          <w:tcPr>
            <w:tcW w:w="382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D9F9C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试点四周、两名业务骨干、每周不超过四小时，合计 32 人时</w:t>
            </w:r>
          </w:p>
        </w:tc>
        <w:tc>
          <w:tcPr>
            <w:tcW w:w="398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C985B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f03</w:t>
            </w:r>
          </w:p>
        </w:tc>
      </w:tr>
      <w:tr>
        <w:trPr/>
        <w:tc>
          <w:tcPr>
            <w:tcW w:w="49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A4CD7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C5</w:t>
            </w:r>
          </w:p>
        </w:tc>
        <w:tc>
          <w:tcPr>
            <w:tcW w:w="382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80A3F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模型无审批权限，正式确认由对应业务负责人完成</w:t>
            </w:r>
          </w:p>
        </w:tc>
        <w:tc>
          <w:tcPr>
            <w:tcW w:w="398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955B8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f22</w:t>
            </w:r>
          </w:p>
        </w:tc>
      </w:tr>
    </w:tbl>
    <w:p w14:paraId="1F962A9E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1-2　五条硬约束与来源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23a2e" w:sz="24"/>
              <w:bottom w:val="none" w:sz="8"/>
              <w:right w:val="none" w:sz="8"/>
            </w:tcBorders>
            <w:shd w:val="clear" w:fill="fbf0ee"/>
            <w:vAlign w:val="center"/>
          </w:tcPr>
          <w:p w14:paraId="6058CA48">
            <w:pPr>
              <w:rPr>
                <w:color w:val="7a2c24"/>
              </w:rPr>
            </w:pPr>
            <w:r>
              <w:rPr>
                <w:rFonts w:hint="eastAsia" w:ascii="SimSun" w:hAnsi="SimSun" w:eastAsia="SimSun" w:cs="SimSun"/>
                <w:b w:val="1"/>
                <w:color w:val="7a2c24"/>
                <w:sz w:val="21"/>
              </w:rPr>
              <w:t>为什么把 C1 放在第一条：</w:t>
            </w:r>
            <w:r>
              <w:rPr>
                <w:rFonts w:hint="eastAsia" w:ascii="SimSun" w:hAnsi="SimSun" w:eastAsia="SimSun" w:cs="SimSun"/>
                <w:color w:val="7a2c24"/>
                <w:sz w:val="21"/>
              </w:rPr>
              <w:t>写回一旦打开，出错将直接改变业务数据，且难以回滚。本项目目前的权限、责任与回滚机制均未建立，写回不是"多做一点"，而是把风险等级从"可选"提升到"不可逆"。方案 C 因此暂缓。</w:t>
            </w:r>
          </w:p>
        </w:tc>
      </w:tr>
    </w:tbl>
    <w:p w14:paraId="67E45A36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1.3　方案评价的四个维度</w:t>
      </w:r>
    </w:p>
    <w:p w14:paraId="545B0A66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评价不按"功能多少"排序，而按以下四项排序：一是在损害发生前能否拦截；二是不依赖写回与外部接口的程度；三是失败是否可逆；四是在 32 人时预算内能否完成验收。前三项决定风险，第四项决定可行性。</w:t>
      </w:r>
    </w:p>
    <w:p w14:paraId="37B2540F">
      <w:pPr>
        <w:pStyle w:val="000004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第二章　方案 A：缺项清单（最小可行）</w:t>
      </w:r>
      <w:bookmarkEnd w:id="2"/>
    </w:p>
    <w:p w14:paraId="61ED4314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2.1　目标与边界</w:t>
      </w:r>
    </w:p>
    <w:p w14:paraId="16AB3711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目标：让一线在提交前就能看到"哪些服务项缺责任人、缺确认状态、缺来源位置"，把补录动作从"事后回查"前移到"提交之前"。</w:t>
      </w:r>
    </w:p>
    <w:p w14:paraId="42754BEC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边界：只读生成清单，不回写任何系统；不做自动派单；清单中的"建议"需由林亦舟逐项确认后才生效。对应 REQ-4 与 REQ-6。</w:t>
      </w:r>
    </w:p>
    <w:p w14:paraId="09F248A5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2.2　数据流与字段</w:t>
      </w:r>
    </w:p>
    <w:p w14:paraId="79BEC44B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数据流为单向三段：内部台账与文件库只读导出 → 字段对齐与缺项判定 → 生成缺项清单（页面 + 导出表）。全程不产生写操作。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824"/>
        <w:gridCol w:w="1827"/>
        <w:gridCol w:w="1993"/>
      </w:tblGrid>
      <w:tr>
        <w:trPr>
          <w:tblHeader w:val="1"/>
        </w:trPr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E56B5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字段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DE8F7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定义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2455A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缺失判定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AD5A0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来源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3A6DE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演练编号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AD3B0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服务项唯一标识，试点期由台账生成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251B9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空值即缺项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F643E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业务台账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6EC35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需求类别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F671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设备 / 语言 / 场地 / 餐饮 / 交通等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DABE2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空值或落入"其他"即提示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932F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业务台账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241C7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责任人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2C0F0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对该项结果负责的具名人员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6DEF3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空值即阻断项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DC7E2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业务台账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2EED7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时间窗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D6594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需求的业务发生时间，非录入时间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35632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空值即提示；与采集时间偏差超阈值告警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64021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业务台账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DC028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确认状态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F5219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未确认 / 已确认 / 已作废（需原因）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ACFD2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未确认超过阈值即进清单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DF6EF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业务台账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27374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来源位置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5896E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该需求在原始记录中的位置（文件、页码、消息时间）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92567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空值即阻断项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839D8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文件库</w:t>
            </w:r>
          </w:p>
        </w:tc>
      </w:tr>
      <w:tr>
        <w:trPr/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7A418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版本号</w:t>
            </w:r>
          </w:p>
        </w:tc>
        <w:tc>
          <w:tcPr>
            <w:tcW w:w="282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ED711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服务项所属清单版本</w:t>
            </w:r>
          </w:p>
        </w:tc>
        <w:tc>
          <w:tcPr>
            <w:tcW w:w="1827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6EEB2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空值或多版本冲突即进人工队列</w:t>
            </w:r>
          </w:p>
        </w:tc>
        <w:tc>
          <w:tcPr>
            <w:tcW w:w="1993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6753D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文件库</w:t>
            </w:r>
          </w:p>
        </w:tc>
      </w:tr>
    </w:tbl>
    <w:p w14:paraId="76364556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2-1　缺项清单的七个字段与判定规则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8c99a5" w:sz="24"/>
              <w:bottom w:val="none" w:sz="8"/>
              <w:right w:val="none" w:sz="8"/>
            </w:tcBorders>
            <w:shd w:val="clear" w:fill="f4f6f8"/>
            <w:vAlign w:val="center"/>
          </w:tcPr>
          <w:p w14:paraId="7E015939">
            <w:pPr>
              <w:rPr>
                <w:color w:val="40484f"/>
              </w:rPr>
            </w:pPr>
            <w:r>
              <w:rPr>
                <w:rFonts w:hint="eastAsia" w:ascii="SimSun" w:hAnsi="SimSun" w:eastAsia="SimSun" w:cs="SimSun"/>
                <w:b w:val="1"/>
                <w:color w:val="40484f"/>
                <w:sz w:val="21"/>
              </w:rPr>
              <w:t>关于时间字段的一条硬规则：</w:t>
            </w:r>
            <w:r>
              <w:rPr>
                <w:rFonts w:hint="eastAsia" w:ascii="SimSun" w:hAnsi="SimSun" w:eastAsia="SimSun" w:cs="SimSun"/>
                <w:color w:val="40484f"/>
                <w:sz w:val="21"/>
              </w:rPr>
              <w:t>必须同时记录"业务发生时间"与"系统接收时间"。访谈已明确回填时间不等于发生时间（f13、f34），只保留一个时间戳会让所有时效类指标失真。</w:t>
            </w:r>
          </w:p>
        </w:tc>
      </w:tr>
    </w:tbl>
    <w:p w14:paraId="013AD477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2.3　人工确认点</w:t>
      </w:r>
    </w:p>
    <w:p w14:paraId="600177A9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清单生成后不直接生效，设置两个确认点：林亦舟确认"清单可用、误报可接受"，秦芮确认"字段来源可追溯"。两个确认均为书面，未确认不进下一环节。</w:t>
      </w:r>
    </w:p>
    <w:p w14:paraId="7031AF1D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2.4　验收口径</w:t>
      </w:r>
    </w:p>
    <w:p w14:paraId="1178B196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验收标准：在 70 项模拟样本上，缺项清单对"责任人缺失""确认状态缺失""来源位置缺失"三类的召回率达到 100%（不允许漏报），误报率不高于 20%（允许误报，由人工剔除）。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c6e5c" w:sz="24"/>
              <w:bottom w:val="none" w:sz="8"/>
              <w:right w:val="none" w:sz="8"/>
            </w:tcBorders>
            <w:shd w:val="clear" w:fill="ecf4f1"/>
            <w:vAlign w:val="center"/>
          </w:tcPr>
          <w:p w14:paraId="189292F0">
            <w:pPr>
              <w:rPr>
                <w:color w:val="23594b"/>
              </w:rPr>
            </w:pPr>
            <w:r>
              <w:rPr>
                <w:rFonts w:hint="eastAsia" w:ascii="SimSun" w:hAnsi="SimSun" w:eastAsia="SimSun" w:cs="SimSun"/>
                <w:b w:val="1"/>
                <w:color w:val="23594b"/>
                <w:sz w:val="21"/>
              </w:rPr>
              <w:t>为什么允许误报而不允许漏报：</w:t>
            </w:r>
            <w:r>
              <w:rPr>
                <w:rFonts w:hint="eastAsia" w:ascii="SimSun" w:hAnsi="SimSun" w:eastAsia="SimSun" w:cs="SimSun"/>
                <w:color w:val="23594b"/>
                <w:sz w:val="21"/>
              </w:rPr>
              <w:t>漏报会让一线误以为"没问题"，直接进入执行；误报只是增加一次人工判断。方向上的取舍必须写进验收标准，否则开发会按准确率优化，反而牺牲召回。</w:t>
            </w:r>
          </w:p>
        </w:tc>
      </w:tr>
    </w:tbl>
    <w:p w14:paraId="676BD307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2.5　预期效果与风险</w:t>
      </w:r>
    </w:p>
    <w:p w14:paraId="0F331C9E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预期效果：把缺项发现时点从"执行现场"前移到"提交之前"，直接作用于 S8 异常回查（现状 4.0 人时/场）。试点期目标为回查人时下降 40%，该目标须实测，不作承诺。</w:t>
      </w:r>
    </w:p>
    <w:p w14:paraId="3992FE9D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主要风险有三：一是台账本身字段不全，导致清单长期误报，需先用一次人工盘点补齐基础字段；二是责任人字段被填成部门而非个人，使清单失去约束力；三是一线绕过清单直接提交，需由傅景在质量环节卡住。</w:t>
      </w:r>
    </w:p>
    <w:p w14:paraId="472D17D5">
      <w:pPr>
        <w:pStyle w:val="000004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第三章　方案 B：版本与交接卡口</w:t>
      </w:r>
      <w:bookmarkEnd w:id="3"/>
    </w:p>
    <w:p w14:paraId="69F87844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3.1　目标与边界</w:t>
      </w:r>
    </w:p>
    <w:p w14:paraId="6B035318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目标：让"哪个版本有效""谁接收了""还有哪些未结项"三件事在交接发生的当下就有答案，而不是事后翻记录推断。</w:t>
      </w:r>
    </w:p>
    <w:p w14:paraId="2F3C4797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边界：只做规则校验与阻断提示，不代替任何人做确认；不做审批流；不改变现有工具，只在交接环节增加一层卡口。对应 REQ-1、REQ-2、REQ-3。</w:t>
      </w:r>
    </w:p>
    <w:p w14:paraId="73485CF9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3.2　三条强制规则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4"/>
        <w:gridCol w:w="2159"/>
        <w:gridCol w:w="3156"/>
        <w:gridCol w:w="2325"/>
      </w:tblGrid>
      <w:tr>
        <w:trPr>
          <w:tblHeader w:val="1"/>
        </w:trPr>
        <w:tc>
          <w:tcPr>
            <w:tcW w:w="66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CE13F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编号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2917E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规则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9CDD3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具体做法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605D6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失败即</w:t>
            </w:r>
          </w:p>
        </w:tc>
      </w:tr>
      <w:tr>
        <w:trPr/>
        <w:tc>
          <w:tcPr>
            <w:tcW w:w="66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ECD94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R1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D602F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版本号系统生成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32949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格式为 V + 日期 + 两位序号，作废版本保留并记录原因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3CBC2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无法生成版本号 → 阻断，不得以文件名代替</w:t>
            </w:r>
          </w:p>
        </w:tc>
      </w:tr>
      <w:tr>
        <w:trPr/>
        <w:tc>
          <w:tcPr>
            <w:tcW w:w="66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12B66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R2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F528C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交接单三要素强制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7F78A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接收人、版本号、未结项三项为必填，缺一不可提交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1169F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缺项 → 阻断，且不得标记为"已处理"</w:t>
            </w:r>
          </w:p>
        </w:tc>
      </w:tr>
      <w:tr>
        <w:trPr/>
        <w:tc>
          <w:tcPr>
            <w:tcW w:w="66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00ED8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R3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13A51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异常进人工队列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C8424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版本冲突或关键字段缺失时入队，由值守人在时限内判定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97A12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超时未判定 → 挂起并上报，不得默认通过</w:t>
            </w:r>
          </w:p>
        </w:tc>
      </w:tr>
    </w:tbl>
    <w:p w14:paraId="71258403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3-1　方案 B 的三条强制规则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23a2e" w:sz="24"/>
              <w:bottom w:val="none" w:sz="8"/>
              <w:right w:val="none" w:sz="8"/>
            </w:tcBorders>
            <w:shd w:val="clear" w:fill="fbf0ee"/>
            <w:vAlign w:val="center"/>
          </w:tcPr>
          <w:p w14:paraId="2A833315">
            <w:pPr>
              <w:rPr>
                <w:color w:val="7a2c24"/>
              </w:rPr>
            </w:pPr>
            <w:r>
              <w:rPr>
                <w:rFonts w:hint="eastAsia" w:ascii="SimSun" w:hAnsi="SimSun" w:eastAsia="SimSun" w:cs="SimSun"/>
                <w:b w:val="1"/>
                <w:color w:val="7a2c24"/>
                <w:sz w:val="21"/>
              </w:rPr>
              <w:t>三条规则必须是"阻断"而不是"提醒"。</w:t>
            </w:r>
            <w:r>
              <w:rPr>
                <w:rFonts w:hint="eastAsia" w:ascii="SimSun" w:hAnsi="SimSun" w:eastAsia="SimSun" w:cs="SimSun"/>
                <w:color w:val="7a2c24"/>
                <w:sz w:val="21"/>
              </w:rPr>
              <w:t>行业分析中的失败案例显示，以提醒形式存在的规则会被忽略；本项目的现状（只发"已处理"，f23）也是提醒失效的典型。设计上不做"温馨提示"这类软约束。</w:t>
            </w:r>
          </w:p>
        </w:tc>
      </w:tr>
    </w:tbl>
    <w:p w14:paraId="10134520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3.3　阻断逻辑</w:t>
      </w:r>
    </w:p>
    <w:p w14:paraId="16011B33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阻断点设在交接提交动作上，而不是交接之后。判定顺序为：版本号是否存在且唯一 → 三要素是否齐全 → 未结项是否已列明。三项通过才允许提交；任一不通过，提交按钮不可用，并给出具体缺失项。</w:t>
      </w:r>
    </w:p>
    <w:p w14:paraId="488100C8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同时保留一条例外通道：因时间紧迫必须先行交接时，可标记为"有条件交接"，但必须填写补救责任人与截止时间，且该记录进入傅景的周度复核清单。例外通道用于避免流程被绕过，而不是取消约束。</w:t>
      </w:r>
    </w:p>
    <w:p w14:paraId="5771484A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3.4　验收口径</w:t>
      </w:r>
    </w:p>
    <w:p w14:paraId="1C6DB9CF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验收标准：用 3 个虚构交接样本全流程走查，要求三要素缺失时 100% 被拦截、0 例默认通过；"有条件交接"记录必须 100% 带补救责任人与截止时间。</w:t>
      </w:r>
    </w:p>
    <w:p w14:paraId="76C81CB1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3.5　预期效果与风险</w:t>
      </w:r>
    </w:p>
    <w:p w14:paraId="14AD84C6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预期效果：交接环节（S6）与定版环节（S5）的返工次数由 1.1 次/场降至 0.2 次/场以内，责任归属可在流程内直接判定，无需回查原始版本。</w:t>
      </w:r>
    </w:p>
    <w:p w14:paraId="472D9AB7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主要风险有四：一是规则维护人未指定，版本规则一变清单就失效（f24 指出的正是这一点）；二是值守人与响应时限未定，人工队列会积压；三是"有条件交接"被滥用为常规通道；四是业务负责人尚未确认交接责任转移的具体时点，规则无法定稿。前三项属设计可缓解，第四项为前置阻塞。</w:t>
      </w:r>
    </w:p>
    <w:p w14:paraId="0573D06E">
      <w:pPr>
        <w:pStyle w:val="000004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4" w:name="section-4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第四章　方案 C：端到端编排（暂缓）</w:t>
      </w:r>
      <w:bookmarkEnd w:id="4"/>
    </w:p>
    <w:p w14:paraId="332CA4F5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4.1　目标与设想</w:t>
      </w:r>
    </w:p>
    <w:p w14:paraId="2374B81B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设想：把服务台、业务台账、文件库三套工具通过统一编号打通，实现需求从登记到执行的全链路自动流转，异常自动分派、进度自动同步。</w:t>
      </w:r>
    </w:p>
    <w:p w14:paraId="4415FAFB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覆盖范围：REQ-5（跨团队原始记录口径）以及跨系统协同的全部场景。</w:t>
      </w:r>
    </w:p>
    <w:p w14:paraId="1B4E4BE2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4.2　需要的能力与前置条件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2990"/>
        <w:gridCol w:w="3156"/>
      </w:tblGrid>
      <w:tr>
        <w:trPr>
          <w:tblHeader w:val="1"/>
        </w:trPr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7C82C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需要的能力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4930D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前置条件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4B203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当前状态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312C3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三系统统一关联编号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CBFCD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三套工具均开放编号字段与读写权限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9167D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未具备（f30：尚无统一编号）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95767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写回与状态同步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F721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权限分级、责任界定、出错回滚机制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AE427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未具备，且违反 C1 约束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DA421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自动派单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B31BD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责任人主数据准确、派单规则经业务确认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CDACB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未具备（f22：模型无审批权限）</w:t>
            </w:r>
          </w:p>
        </w:tc>
      </w:tr>
      <w:tr>
        <w:trPr/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D8152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异常自动分派</w:t>
            </w:r>
          </w:p>
        </w:tc>
        <w:tc>
          <w:tcPr>
            <w:tcW w:w="2990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6FE88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值守人、响应时限、升级路径</w:t>
            </w:r>
          </w:p>
        </w:tc>
        <w:tc>
          <w:tcPr>
            <w:tcW w:w="315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A6441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未具备（值守与时限待确认）</w:t>
            </w:r>
          </w:p>
        </w:tc>
      </w:tr>
    </w:tbl>
    <w:p w14:paraId="0393FEB3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4-1　方案 C 的四项前置条件与当前状态</w:t>
      </w:r>
    </w:p>
    <w:p w14:paraId="105CA5C7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4.3　为何暂缓</w:t>
      </w:r>
    </w:p>
    <w:p w14:paraId="46EA59D8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三条理由。</w:t>
      </w:r>
    </w:p>
    <w:p w14:paraId="5FC83DB0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第一，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违反已确认的边界。</w:t>
      </w:r>
      <w:r>
        <w:rPr>
          <w:rFonts w:hint="eastAsia" w:ascii="SimSun" w:hAnsi="SimSun" w:eastAsia="SimSun" w:cs="SimSun"/>
          <w:color w:val="1a1a1a"/>
          <w:sz w:val="24"/>
        </w:rPr>
        <w:t>C1 明确只做只读导出、不开放外部接口。方案 C 的每一项能力都建立在写回之上，在边界未变更前不具备实施条件。</w:t>
      </w:r>
    </w:p>
    <w:p w14:paraId="54730853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第二，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失败不可逆。</w:t>
      </w:r>
      <w:r>
        <w:rPr>
          <w:rFonts w:hint="eastAsia" w:ascii="SimSun" w:hAnsi="SimSun" w:eastAsia="SimSun" w:cs="SimSun"/>
          <w:color w:val="1a1a1a"/>
          <w:sz w:val="24"/>
        </w:rPr>
        <w:t>方案 A 与 B 的失败表现为"多一次人工判断"，方案 C 的失败表现为"业务数据被错误修改"，两者的风险量级不同。在责任与回滚机制建立前，不应触碰。</w:t>
      </w:r>
    </w:p>
    <w:p w14:paraId="12EEE898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第三，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基础条件不具备。</w:t>
      </w:r>
      <w:r>
        <w:rPr>
          <w:rFonts w:hint="eastAsia" w:ascii="SimSun" w:hAnsi="SimSun" w:eastAsia="SimSun" w:cs="SimSun"/>
          <w:color w:val="1a1a1a"/>
          <w:sz w:val="24"/>
        </w:rPr>
        <w:t>统一编号、责任人主数据、值守机制三项均未落地，此时上编排只会把现有的口径混乱固化到系统里。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8c99a5" w:sz="24"/>
              <w:bottom w:val="none" w:sz="8"/>
              <w:right w:val="none" w:sz="8"/>
            </w:tcBorders>
            <w:shd w:val="clear" w:fill="f4f6f8"/>
            <w:vAlign w:val="center"/>
          </w:tcPr>
          <w:p w14:paraId="18ADBA7A">
            <w:pPr>
              <w:rPr>
                <w:color w:val="40484f"/>
              </w:rPr>
            </w:pPr>
            <w:r>
              <w:rPr>
                <w:rFonts w:hint="eastAsia" w:ascii="SimSun" w:hAnsi="SimSun" w:eastAsia="SimSun" w:cs="SimSun"/>
                <w:b w:val="1"/>
                <w:color w:val="40484f"/>
                <w:sz w:val="21"/>
              </w:rPr>
              <w:t>建议：</w:t>
            </w:r>
            <w:r>
              <w:rPr>
                <w:rFonts w:hint="eastAsia" w:ascii="SimSun" w:hAnsi="SimSun" w:eastAsia="SimSun" w:cs="SimSun"/>
                <w:color w:val="40484f"/>
                <w:sz w:val="21"/>
              </w:rPr>
              <w:t>把方案 C 作为下一阶段的候选，而非本期的备选。触发条件为方案 B 稳定运行满两个批次、统一编号方案经秦芮与叶书确认、且业务负责人书面同意变更只读边界。三项同时满足才启动评估。</w:t>
            </w:r>
          </w:p>
        </w:tc>
      </w:tr>
    </w:tbl>
    <w:p w14:paraId="525A926D">
      <w:pPr>
        <w:pStyle w:val="000004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5" w:name="section-5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第五章　三案对比与推荐</w:t>
      </w:r>
      <w:bookmarkEnd w:id="5"/>
    </w:p>
    <w:p w14:paraId="624BF9C6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5.1　对比矩阵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2159"/>
        <w:gridCol w:w="2491"/>
        <w:gridCol w:w="2325"/>
      </w:tblGrid>
      <w:tr>
        <w:trPr>
          <w:tblHeader w:val="1"/>
        </w:trPr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399C7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维度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11ED1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方案 A 缺项清单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10FBB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方案 B 版本与交接卡口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FAF89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方案 C 端到端编排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07761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覆盖需求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CD89A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REQ-4、REQ-6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E342C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REQ-1、REQ-2、REQ-3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2CC34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REQ-5 及跨系统协同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D59B3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是否依赖写回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4DBCA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否，纯只读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58D53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否，仅阻断提交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A7CA0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是，且需外部接口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B8CD7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能否在损害前拦截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15E72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能，提交前提示缺项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02EF5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能，提交时阻断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E3F74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能，但依赖数据准确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635E3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失败后果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4A86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多一次人工判断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94A91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交接被卡住，可例外放行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2F2A8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业务数据被错误修改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D83A9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可逆性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E6122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高，关掉即恢复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81A3A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中，需保留例外通道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70F8D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低，回滚成本高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03E25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四周内可完成的投入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D8C1D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约 6 人天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91666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约 8 人天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F69F3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远超预算，无法评估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4EB78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主要阻塞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BF278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台账基础字段不全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1EA6F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交接责任转移时点未定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0299D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权限、编号、值守三项均缺</w:t>
            </w:r>
          </w:p>
        </w:tc>
      </w:tr>
      <w:tr>
        <w:trPr/>
        <w:tc>
          <w:tcPr>
            <w:tcW w:w="1328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74D1C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建议</w:t>
            </w:r>
          </w:p>
        </w:tc>
        <w:tc>
          <w:tcPr>
            <w:tcW w:w="215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A32A4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本期实施</w:t>
            </w:r>
          </w:p>
        </w:tc>
        <w:tc>
          <w:tcPr>
            <w:tcW w:w="249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2A042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本期实施（条件成熟后）</w:t>
            </w:r>
          </w:p>
        </w:tc>
        <w:tc>
          <w:tcPr>
            <w:tcW w:w="232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71E39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暂缓，列为下一阶段候选</w:t>
            </w:r>
          </w:p>
        </w:tc>
      </w:tr>
    </w:tbl>
    <w:p w14:paraId="75B44D03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5-1　三案八维度对比</w:t>
      </w:r>
    </w:p>
    <w:p w14:paraId="3E819664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5.2　组合路径：A 与 B 并行、C 暂缓</w:t>
      </w:r>
    </w:p>
    <w:p w14:paraId="3A13C0B4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推荐组合而非单选，原因是 A 与 B 解决的是链条上两个相邻但不同的问题：A 解决"提交前看不看得见缺项"，B 解决"交接时责任有没有断开"。只做 A，问题会在交接处重新出现；只做 B，交接时才发现缺项，补录成本更高。</w:t>
      </w:r>
    </w:p>
    <w:p w14:paraId="7194472A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实施顺序上建议 A 先行两周、B 紧随，因为 B 依赖 A 产出的字段规范。C 不进入本期范围。</w:t>
      </w:r>
    </w:p>
    <w:p w14:paraId="6F2616D7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5.3　推荐结论与理由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c6e5c" w:sz="24"/>
              <w:bottom w:val="none" w:sz="8"/>
              <w:right w:val="none" w:sz="8"/>
            </w:tcBorders>
            <w:shd w:val="clear" w:fill="ecf4f1"/>
            <w:vAlign w:val="center"/>
          </w:tcPr>
          <w:p w14:paraId="0BC8606A">
            <w:pPr>
              <w:rPr>
                <w:color w:val="23594b"/>
              </w:rPr>
            </w:pPr>
            <w:r>
              <w:rPr>
                <w:rFonts w:hint="eastAsia" w:ascii="SimSun" w:hAnsi="SimSun" w:eastAsia="SimSun" w:cs="SimSun"/>
                <w:b w:val="1"/>
                <w:color w:val="23594b"/>
                <w:sz w:val="21"/>
              </w:rPr>
              <w:t>推荐：本期实施 A + B 组合，C 暂缓。</w:t>
            </w:r>
            <w:r>
              <w:rPr>
                <w:rFonts w:hint="eastAsia" w:ascii="SimSun" w:hAnsi="SimSun" w:eastAsia="SimSun" w:cs="SimSun"/>
                <w:color w:val="23594b"/>
                <w:sz w:val="21"/>
              </w:rPr>
              <w:t>理由有三：其一，两案均不依赖写回与外部接口，符合 C1；其二，两案均在提交环节拦截，失败可在对外承诺前被发现，符合"可逆优先"；其三，两案合计约 14 人天，与 32 人时的客户侧投入和四周周期匹配。</w:t>
            </w:r>
          </w:p>
        </w:tc>
      </w:tr>
    </w:tbl>
    <w:p w14:paraId="25666109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需要说明的是，本推荐是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有条件推荐</w:t>
      </w:r>
      <w:r>
        <w:rPr>
          <w:rFonts w:hint="eastAsia" w:ascii="SimSun" w:hAnsi="SimSun" w:eastAsia="SimSun" w:cs="SimSun"/>
          <w:color w:val="1a1a1a"/>
          <w:sz w:val="24"/>
        </w:rPr>
        <w:t>：方案 B 的 R1、R2 两条规则依赖于"交接责任转移时点"的确认，该口径目前尚未由顾明岚书面确认。若在试点启动前未能确认，B 应缩范围为 R3（异常入队）单条，其余延后。</w:t>
      </w:r>
    </w:p>
    <w:p w14:paraId="349C376A">
      <w:pPr>
        <w:pStyle w:val="000004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6" w:name="section-6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第六章　实施计划</w:t>
      </w:r>
      <w:bookmarkEnd w:id="6"/>
    </w:p>
    <w:p w14:paraId="44869FFC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6.1　四周安排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3654"/>
        <w:gridCol w:w="3654"/>
      </w:tblGrid>
      <w:tr>
        <w:trPr>
          <w:tblHeader w:val="1"/>
        </w:trPr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57C3E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周次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9EF53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主要工作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50EC0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交付与检查点</w:t>
            </w:r>
          </w:p>
        </w:tc>
      </w:tr>
      <w:tr>
        <w:trPr/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F4695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第 1 周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06F30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字段盘点与补齐；建立缺项判定规则；确定业务发生时间与采集时间的双时间戳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66393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字段清单定稿；缺项规则表；基线测量第一次采样</w:t>
            </w:r>
          </w:p>
        </w:tc>
      </w:tr>
      <w:tr>
        <w:trPr/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25FD3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第 2 周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C8FFA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方案 A 清单原型；在 70 项模拟样本上试用；记录误报漏报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DF4EB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缺项清单 v1；误报漏报记录；林亦舟与秦芮双确认</w:t>
            </w:r>
          </w:p>
        </w:tc>
      </w:tr>
      <w:tr>
        <w:trPr/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1FADB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第 3 周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7B8BF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方案 B 卡口规则配置；3 个交接样本走查；异常队列与值守机制试运行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02611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交接单 v1；拦截记录；傅景质量签字</w:t>
            </w:r>
          </w:p>
        </w:tc>
      </w:tr>
      <w:tr>
        <w:trPr/>
        <w:tc>
          <w:tcPr>
            <w:tcW w:w="996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59850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第 4 周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3F9CE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两案联调；50 项全量验收；复盘与移交</w:t>
            </w:r>
          </w:p>
        </w:tc>
        <w:tc>
          <w:tcPr>
            <w:tcW w:w="3654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2A374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50 项验收记录；口径文档；退出与接管说明</w:t>
            </w:r>
          </w:p>
        </w:tc>
      </w:tr>
    </w:tbl>
    <w:p w14:paraId="2403E466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6-1　四周实施与检查点</w:t>
      </w:r>
    </w:p>
    <w:p w14:paraId="71825D24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6.2　分工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1661"/>
        <w:gridCol w:w="5149"/>
      </w:tblGrid>
      <w:tr>
        <w:trPr>
          <w:tblHeader w:val="1"/>
        </w:trPr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2FDEA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角色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88111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姓名</w:t>
            </w:r>
          </w:p>
        </w:tc>
        <w:tc>
          <w:tcPr>
            <w:tcW w:w="514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shd w:val="clear" w:fill="e8ed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4310F">
            <w:pPr>
              <w:jc w:val="left"/>
              <w:rPr>
                <w:b w:val="1"/>
                <w:bCs w:val="1"/>
                <w:color w:val="1f3a5f"/>
              </w:rPr>
            </w:pPr>
            <w:r>
              <w:rPr>
                <w:rFonts w:hint="eastAsia" w:ascii="SimHei" w:hAnsi="SimHei" w:eastAsia="SimHei" w:cs="SimHei"/>
                <w:b w:val="0"/>
                <w:color w:val="1f3a5f"/>
                <w:sz w:val="19"/>
              </w:rPr>
              <w:t>职责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D57B0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业务负责人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3EF49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顾明岚</w:t>
            </w:r>
          </w:p>
        </w:tc>
        <w:tc>
          <w:tcPr>
            <w:tcW w:w="514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3884D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确认试点范围、交接责任转移时点；决定继续或停止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B98D4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一线使用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55524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林亦舟</w:t>
            </w:r>
          </w:p>
        </w:tc>
        <w:tc>
          <w:tcPr>
            <w:tcW w:w="514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DB866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清单可用性验收；误报漏报记录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588EF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流程协调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7AF0B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唐映秋</w:t>
            </w:r>
          </w:p>
        </w:tc>
        <w:tc>
          <w:tcPr>
            <w:tcW w:w="514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E6402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提供交接记录与原始记录；验证卡口不阻碍正常流转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CF969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数据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EC08A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秦芮</w:t>
            </w:r>
          </w:p>
        </w:tc>
        <w:tc>
          <w:tcPr>
            <w:tcW w:w="514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D9C27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字段来源可追溯性确认；统一编号方案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C974C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质量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EC0AC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傅景</w:t>
            </w:r>
          </w:p>
        </w:tc>
        <w:tc>
          <w:tcPr>
            <w:tcW w:w="514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BABB1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质量验收签字；保留暂停试点权利；例外通道周度复核</w:t>
            </w:r>
          </w:p>
        </w:tc>
      </w:tr>
      <w:tr>
        <w:trPr/>
        <w:tc>
          <w:tcPr>
            <w:tcW w:w="1495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29CA8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客户协同</w:t>
            </w:r>
          </w:p>
        </w:tc>
        <w:tc>
          <w:tcPr>
            <w:tcW w:w="1661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01B48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叶书</w:t>
            </w:r>
          </w:p>
        </w:tc>
        <w:tc>
          <w:tcPr>
            <w:tcW w:w="5149" w:type="dxa"/>
            <w:tcBorders>
              <w:top w:val="single" w:color="aebac5" w:sz="4"/>
              <w:left w:val="single" w:color="aebac5" w:sz="4"/>
              <w:bottom w:val="single" w:color="aebac5" w:sz="4"/>
              <w:right w:val="single" w:color="aebac5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3E559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跨团队口径对齐；复盘召集</w:t>
            </w:r>
          </w:p>
        </w:tc>
      </w:tr>
    </w:tbl>
    <w:p w14:paraId="140ED6F1">
      <w:pPr>
        <w:spacing w:before="-160" w:after="-160" w:line="432"/>
        <w:ind w:left="-160" w:right="-160"/>
        <w:jc w:val="both"/>
        <w:rPr>
          <w:color w:val="6b757d"/>
        </w:rPr>
      </w:pPr>
      <w:r>
        <w:rPr>
          <w:rFonts w:hint="eastAsia" w:ascii="SimSun" w:hAnsi="SimSun" w:eastAsia="SimSun" w:cs="SimSun"/>
          <w:color w:val="6b757d"/>
          <w:sz w:val="19"/>
        </w:rPr>
        <w:t>表 6-2　角色分工</w:t>
      </w:r>
    </w:p>
    <w:p w14:paraId="2FD5DFC7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6.3　里程碑与退出条件</w:t>
      </w:r>
    </w:p>
    <w:p w14:paraId="611FB3A8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里程碑三项：第 2 周末清单原型通过双确认；第 3 周末卡口拦截率达到 100%；第 4 周末 50 项全部具备责任人与确认状态。</w:t>
      </w:r>
    </w:p>
    <w:p w14:paraId="51D8A144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退出条件五项，任一触发即暂停并上报：一是无法确认版本或关键字段且 24 小时内无人判定；二是例外交接占比超过 30%；三是误报率持续高于 40%；四是出现对外承诺错误；五是数据访问权限被质疑。</w:t>
      </w:r>
    </w:p>
    <w:p w14:paraId="08C8A073">
      <w:pPr>
        <w:pStyle w:val="000004"/>
        <w:keepNext w:val="1"/>
        <w:keepLines w:val="1"/>
        <w:shd w:val="clear" w:fill="1f3a5f"/>
        <w:spacing w:before="440" w:beforeAutospacing="1" w:after="440" w:afterAutospacing="1" w:line="432"/>
        <w:ind w:left="440" w:right="440"/>
        <w:outlineLvl w:val="0"/>
        <w:rPr>
          <w:color w:val="ffffff"/>
          <w:kern w:val="44"/>
          <w:sz w:val="44"/>
          <w:szCs w:val="44"/>
        </w:rPr>
      </w:pPr>
      <w:bookmarkStart w:id="7" w:name="section-7"/>
      <w:r>
        <w:rPr>
          <w:rFonts w:hint="eastAsia" w:ascii="SimHei" w:hAnsi="SimHei" w:eastAsia="SimHei" w:cs="SimHei"/>
          <w:b w:val="1"/>
          <w:color w:val="ffffff"/>
          <w:spacing w:val="10"/>
          <w:sz w:val="34"/>
        </w:rPr>
        <w:t>第七章　未决问题与前置条件</w:t>
      </w:r>
      <w:bookmarkEnd w:id="7"/>
    </w:p>
    <w:p w14:paraId="42338468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7.1　阻塞本方案启动的三项</w:t>
      </w:r>
    </w:p>
    <w:p w14:paraId="57B9EF49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第一，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交接责任转移时点未确认。</w:t>
      </w:r>
      <w:r>
        <w:rPr>
          <w:rFonts w:hint="eastAsia" w:ascii="SimSun" w:hAnsi="SimSun" w:eastAsia="SimSun" w:cs="SimSun"/>
          <w:color w:val="1a1a1a"/>
          <w:sz w:val="24"/>
        </w:rPr>
        <w:t>R2 的"接收人"以何时点为准（提交时、确认时、还是执行时）直接决定字段定义。需顾明岚书面确认。</w:t>
      </w:r>
    </w:p>
    <w:p w14:paraId="035FBAFE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第二，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版本规则的维护人未指定。</w:t>
      </w:r>
      <w:r>
        <w:rPr>
          <w:rFonts w:hint="eastAsia" w:ascii="SimSun" w:hAnsi="SimSun" w:eastAsia="SimSun" w:cs="SimSun"/>
          <w:color w:val="1a1a1a"/>
          <w:sz w:val="24"/>
        </w:rPr>
        <w:t>谁有权发布新版本规则、变更后如何通知，未明确则 R1 无法长期运行。需傅景与秦芮共同确认。</w:t>
      </w:r>
    </w:p>
    <w:p w14:paraId="1CAA6594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第三，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数据访问授权人未点名。</w:t>
      </w:r>
      <w:r>
        <w:rPr>
          <w:rFonts w:hint="eastAsia" w:ascii="SimSun" w:hAnsi="SimSun" w:eastAsia="SimSun" w:cs="SimSun"/>
          <w:color w:val="1a1a1a"/>
          <w:sz w:val="24"/>
        </w:rPr>
        <w:t>只读导出的范围与审批人目前空缺，需顾明岚书面指定，否则取数环节无法启动。</w:t>
      </w:r>
    </w:p>
    <w:p w14:paraId="59E5CEFD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7.2　可在试点中解决的四项</w:t>
      </w:r>
    </w:p>
    <w:p w14:paraId="32E7BA5F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一是异常队列的值守人与响应时限（建议试点期由林亦舟兼任，时限 4 小时）；二是台账基础字段的完整率（需一次人工盘点）；三是"有条件交接"的适用场景清单；四是误报率的可接受阈值（当前定为 20%，需一线验证）。</w:t>
      </w:r>
    </w:p>
    <w:p w14:paraId="0F9C2946">
      <w:pPr>
        <w:pStyle w:val="000003"/>
        <w:keepNext w:val="1"/>
        <w:keepLines w:val="1"/>
        <w:pBdr>
          <w:left w:val="single" w:color="b23a2e" w:sz="32" w:space="9"/>
        </w:pBdr>
        <w:spacing w:before="360" w:beforeAutospacing="1" w:after="360" w:afterAutospacing="1" w:line="432"/>
        <w:ind w:left="360" w:right="36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7"/>
        </w:rPr>
        <w:t>7.3　方案之外的明确不做项</w:t>
      </w:r>
    </w:p>
    <w:p w14:paraId="302C53CD">
      <w:pPr>
        <w:spacing w:line="432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本方案不包含：不做写回、不做外部接口、不做自动派单、不做自动对外承诺、不使用真实嘉宾信息、不替代任何人的确认与审批动作。以上任一项如需变更，须重新走立项与边界确认，不在试点期调整。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8c99a5" w:sz="24"/>
              <w:bottom w:val="none" w:sz="8"/>
              <w:right w:val="none" w:sz="8"/>
            </w:tcBorders>
            <w:shd w:val="clear" w:fill="f4f6f8"/>
            <w:vAlign w:val="center"/>
          </w:tcPr>
          <w:p w14:paraId="1886172D">
            <w:pPr>
              <w:rPr>
                <w:color w:val="40484f"/>
              </w:rPr>
            </w:pPr>
            <w:r>
              <w:rPr>
                <w:rFonts w:hint="eastAsia" w:ascii="SimSun" w:hAnsi="SimSun" w:eastAsia="SimSun" w:cs="SimSun"/>
                <w:color w:val="40484f"/>
                <w:sz w:val="21"/>
              </w:rPr>
              <w:t>本文档为合成业务场景演练材料，方案设计基于本项目访谈事实与已确认约束，不代表真实客户签核，也不构成生产实施承诺。</w:t>
            </w:r>
          </w:p>
        </w:tc>
      </w:tr>
    </w:tbl>
    <w:p w14:paraId="1FE7776F">
      <w:pPr>
        <w:sectPr>
          <w:headerReference r:id="rId4" w:type="default"/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219C4F5F">
      <w:pPr/>
    </w:p>
    <w:sectPr>
      <w:headerReference r:id="rId4" w:type="default"/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382F59D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6A8634F0">
    <w:pPr>
      <w:jc w:val="center"/>
    </w:pPr>
    <w:r>
      <w:rPr>
        <w:rFonts w:hint="eastAsia"/>
      </w:rPr>
      <w:t>会议活动服务需求汇总 · 三案设计方案</w:t>
    </w:r>
  </w:p>
</w:hd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macro" w:semiHidden="1" w:unhideWhenUsed="1"/>
    <w:lsdException w:name="List 4" w:semiHidden="1" w:unhideWhenUsed="1"/>
    <w:lsdException w:name="page number" w:semiHidden="1" w:unhideWhenUsed="1"/>
    <w:lsdException w:name="Salutation" w:semiHidden="1" w:unhideWhenUsed="1"/>
    <w:lsdException w:name="Body Text Indent 2" w:semiHidden="1" w:unhideWhenUsed="1"/>
    <w:lsdException w:name="Title" w:uiPriority="10" w:qFormat="1"/>
    <w:lsdException w:name="List 3" w:semiHidden="1" w:unhideWhenUsed="1"/>
    <w:lsdException w:name="annotation text" w:semiHidden="1" w:unhideWhenUsed="1"/>
    <w:lsdException w:name="annotation reference" w:semiHidden="1" w:unhideWhenUsed="1"/>
    <w:lsdException w:name="List Continue 4" w:semiHidden="1" w:unhideWhenUsed="1"/>
    <w:lsdException w:name="List Continue 2" w:semiHidden="1" w:unhideWhenUsed="1"/>
    <w:lsdException w:name="index heading" w:semiHidden="1" w:unhideWhenUsed="1"/>
    <w:lsdException w:name="List Number" w:semiHidden="1" w:unhideWhenUsed="1"/>
    <w:lsdException w:name="footnote text" w:semiHidden="1" w:unhideWhenUsed="1"/>
    <w:lsdException w:name="List Number 5" w:semiHidden="1" w:unhideWhenUsed="1"/>
    <w:lsdException w:name="Block Text" w:semiHidden="1" w:unhideWhenUsed="1"/>
    <w:lsdException w:name="toc 8" w:uiPriority="39" w:semiHidden="1" w:unhideWhenUsed="1"/>
    <w:lsdException w:name="List Number 3" w:semiHidden="1" w:unhideWhenUsed="1"/>
    <w:lsdException w:name="Default Paragraph Font" w:uiPriority="1" w:semiHidden="1" w:unhideWhenUsed="1"/>
    <w:lsdException w:name="toc 6" w:uiPriority="39" w:semiHidden="1" w:unhideWhenUsed="1"/>
    <w:lsdException w:name="Hyperlink" w:semiHidden="1" w:unhideWhenUsed="1"/>
    <w:lsdException w:name="toc 7" w:uiPriority="39" w:semiHidden="1" w:unhideWhenUsed="1"/>
    <w:lsdException w:name="line number" w:semiHidden="1" w:unhideWhenUsed="1"/>
    <w:lsdException w:name="toc 5" w:uiPriority="39" w:semiHidden="1" w:unhideWhenUsed="1"/>
    <w:lsdException w:name="index 7" w:semiHidden="1" w:unhideWhenUsed="1"/>
    <w:lsdException w:name="Body Text First Indent 2" w:semiHidden="1" w:unhideWhenUsed="1"/>
    <w:lsdException w:name="Body Text Indent" w:semiHidden="1" w:unhideWhenUsed="1"/>
    <w:lsdException w:name="toc 3" w:uiPriority="39" w:semiHidden="1" w:unhideWhenUsed="1"/>
    <w:lsdException w:name="Normal" w:uiPriority="0" w:qFormat="1"/>
    <w:lsdException w:name="List 2" w:semiHidden="1" w:unhideWhenUsed="1"/>
    <w:lsdException w:name="Note Heading" w:semiHidden="1" w:unhideWhenUsed="1"/>
    <w:lsdException w:name="footnote reference" w:semiHidden="1" w:unhideWhenUsed="1"/>
    <w:lsdException w:name="List Continue 5" w:semiHidden="1" w:unhideWhenUsed="1"/>
    <w:lsdException w:name="List Number 4" w:semiHidden="1" w:unhideWhenUsed="1"/>
    <w:lsdException w:name="toc 1" w:uiPriority="39" w:semiHidden="1" w:unhideWhenUsed="1"/>
    <w:lsdException w:name="List Continue 3" w:semiHidden="1" w:unhideWhenUsed="1"/>
    <w:lsdException w:name="Body Text First Indent" w:semiHidden="1" w:unhideWhenUsed="1"/>
    <w:lsdException w:name="List 5" w:semiHidden="1" w:unhideWhenUsed="1"/>
    <w:lsdException w:name="Normal Indent" w:semiHidden="1" w:unhideWhenUsed="1"/>
    <w:lsdException w:name="Signature" w:semiHidden="1" w:unhideWhenUsed="1"/>
    <w:lsdException w:name="envelope address" w:semiHidden="1" w:unhideWhenUsed="1"/>
    <w:lsdException w:name="table of figures" w:semiHidden="1" w:unhideWhenUsed="1"/>
    <w:lsdException w:name="toc 4" w:uiPriority="39" w:semiHidden="1" w:unhideWhenUsed="1"/>
    <w:lsdException w:name="table of authorities" w:semiHidden="1" w:unhideWhenUsed="1"/>
    <w:lsdException w:name="heading 7" w:uiPriority="9" w:semiHidden="1" w:unhideWhenUsed="1" w:qFormat="1"/>
    <w:lsdException w:name="endnote reference" w:semiHidden="1" w:unhideWhenUsed="1"/>
    <w:lsdException w:name="toc 2" w:uiPriority="39" w:semiHidden="1" w:unhideWhenUsed="1"/>
    <w:lsdException w:name="footer" w:semiHidden="1" w:unhideWhenUsed="1"/>
    <w:lsdException w:name="Body Text 2" w:semiHidden="1" w:unhideWhenUsed="1"/>
    <w:lsdException w:name="heading 5" w:uiPriority="9" w:semiHidden="1" w:unhideWhenUsed="1" w:qFormat="1"/>
    <w:lsdException w:name="List Bullet 3" w:semiHidden="1" w:unhideWhenUsed="1"/>
    <w:lsdException w:name="Body Text" w:semiHidden="1" w:unhideWhenUsed="1"/>
    <w:lsdException w:name="toc 9" w:uiPriority="39" w:semiHidden="1" w:unhideWhenUsed="1"/>
    <w:lsdException w:name="Closing" w:semiHidden="1" w:unhideWhenUsed="1"/>
    <w:lsdException w:name="index 5" w:semiHidden="1" w:unhideWhenUsed="1"/>
    <w:lsdException w:name="Date" w:semiHidden="1" w:unhideWhenUsed="1"/>
    <w:lsdException w:name="Strong" w:uiPriority="22" w:qFormat="1"/>
    <w:lsdException w:name="List Continue" w:semiHidden="1" w:unhideWhenUsed="1"/>
    <w:lsdException w:name="List Bullet" w:semiHidden="1" w:unhideWhenUsed="1"/>
    <w:lsdException w:name="envelope return" w:semiHidden="1" w:unhideWhenUsed="1"/>
    <w:lsdException w:name="Body Text Indent 3" w:semiHidden="1" w:unhideWhenUsed="1"/>
    <w:lsdException w:name="heading 8" w:uiPriority="9" w:semiHidden="1" w:unhideWhenUsed="1" w:qFormat="1"/>
    <w:lsdException w:name="Message Header" w:semiHidden="1" w:unhideWhenUsed="1"/>
    <w:lsdException w:name="heading 6" w:uiPriority="9" w:semiHidden="1" w:unhideWhenUsed="1" w:qFormat="1"/>
    <w:lsdException w:name="Body Text 3" w:semiHidden="1" w:unhideWhenUsed="1"/>
    <w:lsdException w:name="heading 4" w:uiPriority="9" w:semiHidden="1" w:unhideWhenUsed="1" w:qFormat="1"/>
    <w:lsdException w:name="endnote text" w:semiHidden="1" w:unhideWhenUsed="1"/>
    <w:lsdException w:name="List Bullet 2" w:semiHidden="1" w:unhideWhenUsed="1"/>
    <w:lsdException w:name="index 2" w:semiHidden="1" w:unhideWhenUsed="1"/>
    <w:lsdException w:name="Subtitle" w:uiPriority="11" w:qFormat="1"/>
    <w:lsdException w:name="FollowedHyperlink" w:semiHidden="1" w:unhideWhenUsed="1"/>
    <w:lsdException w:name="heading 3" w:uiPriority="9" w:semiHidden="1" w:unhideWhenUsed="1" w:qFormat="1"/>
    <w:lsdException w:name="heading 2" w:uiPriority="9" w:semiHidden="1" w:unhideWhenUsed="1" w:qFormat="1"/>
    <w:lsdException w:name="List Bullet 4" w:semiHidden="1" w:unhideWhenUsed="1"/>
    <w:lsdException w:name="toa heading" w:semiHidden="1" w:unhideWhenUsed="1"/>
    <w:lsdException w:name="List Bullet 5" w:semiHidden="1" w:unhideWhenUsed="1"/>
    <w:lsdException w:name="caption" w:uiPriority="35" w:semiHidden="1" w:unhideWhenUsed="1" w:qFormat="1"/>
    <w:lsdException w:name="index 4" w:semiHidden="1" w:unhideWhenUsed="1"/>
    <w:lsdException w:name="index 6" w:semiHidden="1" w:unhideWhenUsed="1"/>
    <w:lsdException w:name="heading 1" w:uiPriority="9" w:qFormat="1"/>
    <w:lsdException w:name="heading 9" w:uiPriority="9" w:semiHidden="1" w:unhideWhenUsed="1" w:qFormat="1"/>
    <w:lsdException w:name="index 9" w:semiHidden="1" w:unhideWhenUsed="1"/>
    <w:lsdException w:name="index 8" w:semiHidden="1" w:unhideWhenUsed="1"/>
    <w:lsdException w:name="index 1" w:semiHidden="1" w:unhideWhenUsed="1"/>
    <w:lsdException w:name="List" w:semiHidden="1" w:unhideWhenUsed="1"/>
    <w:lsdException w:name="List Number 2" w:semiHidden="1" w:unhideWhenUsed="1"/>
    <w:lsdException w:name="index 3" w:semiHidden="1" w:unhideWhenUsed="1"/>
    <w:lsdException w:name="header" w:semiHidden="1" w:unhideWhenUsed="1"/>
  </w:latentStyles>
  <w:style w:type="paragraph" w:styleId="000003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1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2026-10-23T19:30:52Z</dcterms:created>
  <dcterms:modified xsi:type="dcterms:W3CDTF">2026-10-23T19:30:52Z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"01a166b806ad74898b6a0f590a332fb0", "ReservedCode1": "", "ContentPropagator": "00119111010856365494821B355", "PropagateID": "01a166b806ad74898b6a0f590a332fb0", "ReservedCode2": ""}}</vt:lpwstr>
  </property>
</Properties>
</file>