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Manual dexterity is associated with occipital white-matter quality, not partial-volume or crossing-fibre artefact: a multi-metric diffusion MRI study</w:t>
      </w:r>
    </w:p>
    <w:p>
      <w:pPr>
        <w:jc w:val="center"/>
      </w:pPr>
      <w:r>
        <w:rPr>
          <w:i/>
          <w:color w:val="666666"/>
          <w:sz w:val="18"/>
        </w:rPr>
        <w:t>Preliminary abstract — ABC cohort | Dexterity × DTI study | updated 2026-06-11 (v3: adds connectivity + robustness)</w:t>
      </w:r>
    </w:p>
    <w:p>
      <w:pPr>
        <w:pStyle w:val="Heading1"/>
      </w:pPr>
      <w:r>
        <w:t>Abstract</w:t>
      </w:r>
    </w:p>
    <w:p>
      <w:pPr>
        <w:spacing w:after="120"/>
      </w:pPr>
      <w:r>
        <w:rPr>
          <w:b/>
        </w:rPr>
        <w:t xml:space="preserve">Background. </w:t>
      </w:r>
      <w:r>
        <w:t>Fine manual dexterity is a visually guided sensorimotor behaviour, and prior work in ageing and clinical cohorts links it to white-matter integrity in visuomotor pathways. However, those reports rest largely on fractional anisotropy (FA), which cannot distinguish genuine microstructural quality from crossing-fibre geometry or partial-volume contamination—an ambiguity that is acute for cortical occipital regions. We tested an a priori hypothesis that higher dexterity is associated with greater occipital white-matter quality, and used a panel of complementary diffusion metrics to establish what drives the effect. Grip strength was examined as a specificity contrast.</w:t>
      </w:r>
    </w:p>
    <w:p>
      <w:pPr>
        <w:spacing w:after="120"/>
      </w:pPr>
      <w:r>
        <w:rPr>
          <w:b/>
        </w:rPr>
        <w:t xml:space="preserve">Methods. </w:t>
      </w:r>
      <w:r>
        <w:t>In the community-based ABC cohort (n ≈ 287; NODDI subset n ≈ 214), dominant- and non-dominant-hand Nine-Hole Peg dexterity and grip strength (NIH Toolbox uncorrected standard scores) were regressed on regional diffusion metrics for the six pre-specified occipital gyri (inferior, middle, superior; left and right), adjusting for age, sex, BMI and race. Beyond FA and mean diffusivity (MD), we modelled axial and radial diffusivity (AD, RD), tensor mode (MO) and bedpostX fibre fractions (second-fibre F2, total-fibre FSUM) as b-value-robust primary metrics, plus experimental NODDI indices (neurite density NDI, orientation dispersion ODI, free-water fraction FWF; two-shell b=1000/2000, reported as exploratory). Sex moderation was tested via a sex × dexterity interaction with within-sex stratified estimates.</w:t>
      </w:r>
      <w:r>
        <w:rPr>
          <w:b w:val="0"/>
          <w:i w:val="0"/>
        </w:rPr>
        <w:t xml:space="preserve"> As an exploratory network-level extension, structural and resting-state connectomes were reconstructed in the same JHU atlas (189 ROIs). Mean connectivity was summarised within the visual system (the six occipital gyri), within primary motor cortex (precentral gyrus), and across the visual–motor block, for streamline-based structural connectivity, bedpostX fibre count, and resting-state functional connectivity (Fisher-z transformed). Network associations used the same covariate model and were additionally adjusted for whole-brain mean connectivity to test anatomical specificity, with grip strength again as a behavioural-specificity contrast.</w:t>
      </w:r>
      <w:r>
        <w:rPr>
          <w:b w:val="0"/>
          <w:i w:val="0"/>
        </w:rPr>
        <w:t xml:space="preserve"> Network associations were FDR-corrected within each test family, repeated with visual acuity as an additional covariate, and characterised at the level of individual edges.</w:t>
      </w:r>
    </w:p>
    <w:p>
      <w:pPr>
        <w:spacing w:after="120"/>
      </w:pPr>
      <w:r>
        <w:rPr>
          <w:b/>
        </w:rPr>
        <w:t xml:space="preserve">Results. </w:t>
      </w:r>
      <w:r>
        <w:t>Higher dominant-hand dexterity was associated with higher occipital FA (6/6 regions), lower MD and lower radial diffusivity (5/6), with axial diffusivity largely unchanged, indicating a radial-diffusivity (myelin-type) signature. Total fibre volume (FSUM) was higher (6/6) while tensor mode was flat and the second-fibre fraction was, if anything, higher—together arguing against a crossing-fibre/tensor-shape artefact. Experimental NODDI metrics were uniformly in the expected direction (higher NDI, lower ODI, lower FWF), the reduced free-water fraction arguing against a CSF partial-volume explanation. The association was present and same-direction in both sexes, numerically larger in males but without reliable sex moderation (interaction significant in 2/24 tests, uncorrected). Grip strength showed no occipital association, its sparse effects falling in limbic and subcortical regions.</w:t>
      </w:r>
      <w:r>
        <w:rPr>
          <w:b w:val="0"/>
          <w:i w:val="0"/>
        </w:rPr>
        <w:t xml:space="preserve"> At the network level, within-occipital structural connectivity was higher with greater dominant-hand dexterity (standardised β = 0.21, p = 1×10⁻⁴) and remained so after adjustment for whole-brain mean connectivity (β = 0.20, p = 6×10⁻⁴), indicating a network-specific rather than global-connectivity effect; the same measure was unrelated to grip strength (p = 0.79), and top- versus bottom-dexterity tertiles differed with a medium effect size (Cohen’s d = 0.50). In contrast, direct visual–motor connectivity showed no dexterity association for any metric (structural, fibre count, or resting-state functional); it instead tracked grip strength and vanished under whole-brain adjustment, consistent with a global brain-size effect rather than visuomotor wiring. Resting-state functional connectivity showed no dexterity association within or between systems.</w:t>
      </w:r>
      <w:r>
        <w:rPr>
          <w:b w:val="0"/>
          <w:i w:val="0"/>
        </w:rPr>
        <w:t xml:space="preserve"> These network findings were robust: the within-occipital association survived false-discovery-rate correction (q = 3×10⁻⁴), was essentially unchanged after additionally adjusting for visual acuity (β = 0.21; acuity itself was unrelated to dexterity, p = 0.50, indicating the effect is not mediated by eyesight), and at the edge level was distributed across 7 of 15 occipital connections (FDR q &lt; .05)—predominantly short-range intrahemispheric connections along the superior–middle–inferior occipital hierarchy rather than any single connection.</w:t>
      </w:r>
    </w:p>
    <w:p>
      <w:pPr>
        <w:spacing w:after="120"/>
      </w:pPr>
      <w:r>
        <w:rPr>
          <w:b/>
        </w:rPr>
        <w:t xml:space="preserve">Conclusions. </w:t>
      </w:r>
      <w:r>
        <w:t>Manual dexterity is associated with occipital white-matter microstructure in a coherent, mechanistically specific manner—reflecting myelination and fibre/neurite content rather than crossing-fibre geometry or partial-volume contamination—and this multi-metric convergence, not the FA correlation alone, is the study’s contribution. The effect generalises across sex, while grip strength provides behavioural specificity. Confirmatory analyses adjusting for whole-brain mean diffusion metrics and visual acuity are required before claiming anatomical specificity to occipital cortex.</w:t>
      </w:r>
      <w:r>
        <w:rPr>
          <w:b w:val="0"/>
          <w:i w:val="0"/>
        </w:rPr>
        <w:t xml:space="preserve"> At the network scale, the dexterity signal localises to structural connectivity within occipital cortex—anatomically and behaviourally specific—rather than to long-range visual–motor pathways or to resting-state functional connectivity, reinforcing a local white-matter (myelination/fibre-content) account over an inter-regional connectivity one.</w:t>
      </w:r>
    </w:p>
    <w:p>
      <w:r>
        <w:rPr>
          <w:i/>
          <w:color w:val="888888"/>
          <w:sz w:val="16"/>
        </w:rPr>
        <w:t>Note: exploratory, cross-sectional. Network analyses were FDR-corrected and adjusted for whole-brain mean connectivity and visual acuity, and characterised at the edge level. NODDI metrics experimental (b=2000, not b=3000). Remaining: confirm the structural edge-weight definition (dti_jhu), apply the whole-brain mean-diffusion control to the microstructure ROIs, and obtain confirmatory replication. See handoff.md.</w:t>
      </w:r>
    </w:p>
    <w:p>
      <w:r>
        <w:rPr>
          <w:i/>
          <w:sz w:val="18"/>
        </w:rPr>
        <w:t>Keywords: manual dexterity; diffusion MRI; fractional anisotropy; radial diffusivity; NODDI; occipital white matter; visuomotor integration; structural connectivity; connectome; visuomotor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