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color w:val="155E75"/>
          <w:sz w:val="32"/>
        </w:rPr>
        <w:t>第1-3天 教案</w:t>
      </w:r>
    </w:p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课程名称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企业AI应用实战训练营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授课课题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企业AI实战培训（3天12模块）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周次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第1-3天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学时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16.5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授课班级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企业参训学员（4组）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授课教师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授课日期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课型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企业内训·实战工作坊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二、教学目标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知识目标：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能够说出AI的能力边界与常见误区，并解释人机协作中人的责任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能够解释Agent、知识库、Skill的核心概念及其在企业场景中的价值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3. 能够描述人机协作五步法的五个步骤及其各自作用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能力目标：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能够运用五步法把岗位任务拆解为可执行的AI协作流程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能够构建含知识库的最小可行智能体，并编写测试一个自建Skill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3. 能够使用Vibe Coding以自然语言生成工作台或小工具原型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4. 能够设计并演示一件可落地的AI应用作品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素质目标：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树立保密红线与合规使用AI的意识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养成'先定义目标、再验收结果'的人机协作工程习惯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3. 增强将AI能力转化为岗位生产力与创新成果的行动自觉</w:t>
      </w:r>
    </w:p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三、学情分析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参训学员为企业在职员工（以非技术背景为主），对AI有好奇但认知碎片化，岗位任务多样；多数人无编程经验，担心'学不会'。培训应以'带得走的作品'为锚，降低技术门槛，强调场景、流程与产出，忌讲术语堆砌。</w:t>
      </w:r>
    </w:p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四、教学重点与难点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教学重点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AI能力边界与保密红线（认知基线）；人机协作五步法（方法论主线）；Agent/知识库/Skill的构建与应用（工具主线）；Vibe Coding自然语言开发与作品落地（产出主线）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教学难点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学员易把AI当'搜索引擎'或'万能工具'，误判能力边界（认知误区）；把岗位任务抽象成输入/处理/输出时易过粗或过细，导致智能体不可用（学生难懂）；从'会演示'到'能落地'的跨越：真实业务数据与保密要求的冲突处理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五、教学方法与教学资源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教学方法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任务驱动法（每模块带产出）；五步法工作坊（拆解练习）；案例示范+分组仿做；路演评比（分组展示+讲师点评+学员互评）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教学资源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AI工具账号与演示环境；课程讲义与练习单（五步法模板）；分组课题方向卡；企业脱敏业务样例（预置3组）</w:t>
            </w:r>
          </w:p>
        </w:tc>
      </w:tr>
    </w:tbl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六、教学过程</w:t>
      </w: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【课前】</w:t>
      </w: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环节·课前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课前调研：收集学员岗位高频任务与TOP痛点；预置3组脱敏业务样例；开通AI工具账号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填写课前调研问卷，列出自己岗位3个高频任务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汇总调研结果，确定攻坚TOP痛点，准备分组名单与练习素材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让培训内容对准真实岗位，第1天即进入'带着问题学'状态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【课中】</w:t>
      </w: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环节·导入（知识点：AI能力边界与误区、保密红线与合规意识）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模块01·AI通识与认知奠基（9:00-10:30，1.5学时）：AI能做什么/不能做什么、制造应用全景、人机协作思维、保密红线、调研反馈与分组。产出：课题方向卡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完成'能/不能'清单练习，认领课题方向，反馈岗位痛点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讲授AI能力边界与保密红线，公布调研结果并完成分组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统一认知基线：AI不是万能工具，人是责任主体；用课题方向卡锚定学员个体目标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环节·新授·人机协作与Agent实战（知识点：人机协作五步法、Agent与知识库构建、岗位任务转智能体）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模块02-03·人机协作五步法与Agent实战（10:45-12:00五步法拆解，14:00-15:30 Agent与知识库，共2.75学时）：目标定义→素材输入→约束说明→分步执行→验收优化；岗位任务转可复用智能体；知识库构建与喂料。产出：练习记录、本岗位最小可行智能体（含知识库）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用五步法拆解1个岗位任务并记录；把岗位资料切分喂料，搭建最小可行智能体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示范五步法拆解全过程；演示知识库构建与喂料，逐组辅导智能体搭建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先给方法论主线，再给工具落地，让学员第1天就带走'自己的智能体'，建立成就感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环节·新授·AIGC与Skill、多Agent（知识点：新媒体AIGC应用、Skill概念与价值、Skill输入处理输出设计、多Agent协作流程、专家团机制）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模块04-06·AIGC与Skill、多Agent协作（15:45-17:00 AIGC，DAY2 9:00-10:30 Skill专题，10:45-12:00 多Agent，共4学时）：AI生图/生视频/生音乐；Skill概念与自建；跨部门任务拆解为多Agent协作流程、专家团机制。产出：AIGC素材包、自建Skill 1个、协作流程图+体验记录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生成AIGC素材包；按输入/处理/输出设计并测试自建Skill；分组拆解跨部门任务并绘制协作流程图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示范生图/生视频/生音乐；讲解Skill三要素并现场测试；演示多Agent流程编排与专家团评审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从'单点工具'升级到'可复用能力'：Skill与多Agent是把个人效率变成组织能力的桥梁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环节·互动练习（知识点：数据统计与批量核对方案、工作总结与汇报材料方案、VibeCoding自然语言开发、工作台与小工具原型、作品三选一实战）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模块07-10·痛点攻坚与Vibe Coding实战（DAY2 14:00-17:00两大痛点，DAY3 9:00-10:30工作台，10:45-12:00作品实战，共5.5学时）：痛点TOP1「数据统计与批量核对」完整链路演示+分组仿做；痛点TOP2「工作总结与汇报材料撰写」分组实战；Vibe Coding打造专属工作台；作品三选一（Agent工作流/组合型AI产品/Vibe Coding作品集网站）。产出：2个解决方案原型、工作台/小工具原型、1件可演示作品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分组仿做两大痛点方案；用自然语言生成工作台原型；三选一完成综合实战作品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演示痛点①完整链路并分组辅导；组织痛点②实战；示范Vibe Coding三个样例，逐个作品把关可演示性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把前两天的知识与工具在真实业务痛点上练一遍，'会演示'过渡到'能落地'，完成从输入到作品的闭环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环节·小结作业（知识点：成果展示与点评复盘）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模块11-12·成果展示与复盘（14:00-15:30展示准备，15:45-17:00展示点评，共2.75学时）：评分标准说明、演示要点与时间控制、作品最终打磨；分组展示+讲师点评+学员互评；30天行动计划；作品汇编留存。产出：展示材料就绪、人人有作品、《企业AI应用案例集》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按评分标准打磨并演示作品，参与互评，制定个人30天行动计划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说明评分标准，组织路演评比，点评复盘并汇总作品汇编成册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用路演评比制造'交付压力'，用30天行动计划把3天培训转化为持续生产力，避免'培训完就凉'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【课后】</w:t>
      </w:r>
    </w:p>
    <w:p>
      <w:pPr>
        <w:spacing w:after="60"/>
      </w:pPr>
      <w:r>
        <w:rPr>
          <w:rFonts w:ascii="黑体" w:hAnsi="黑体" w:eastAsia="黑体"/>
          <w:b/>
          <w:color w:val="0E7490"/>
          <w:sz w:val="23"/>
        </w:rPr>
        <w:t>环节·课后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教学内容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学生活动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教师活动</w:t>
            </w:r>
          </w:p>
        </w:tc>
        <w:tc>
          <w:tcPr>
            <w:tcW w:type="dxa" w:w="2041"/>
            <w:shd w:val="clear" w:fill="CCFBF1"/>
          </w:tcPr>
          <w:p>
            <w:r>
              <w:rPr>
                <w:rFonts w:ascii="黑体" w:hAnsi="黑体" w:eastAsia="黑体"/>
                <w:b/>
                <w:sz w:val="21"/>
              </w:rPr>
              <w:t>设计意图</w:t>
            </w:r>
          </w:p>
        </w:tc>
      </w:tr>
      <w:tr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1"/>
              </w:rPr>
              <w:t>30天行动计划落地：每周完成1个岗位AI应用小成果；作品汇编入《企业AI应用案例集》并持续迭代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按行动计划每周产出1个岗位AI应用小成果，同步到案例集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建立30天跟进群按周答疑，收集作品汇编成册</w:t>
            </w:r>
          </w:p>
        </w:tc>
        <w:tc>
          <w:tcPr>
            <w:tcW w:type="dxa" w:w="2041"/>
          </w:tcPr>
          <w:p>
            <w:r>
              <w:rPr>
                <w:rFonts w:ascii="宋体" w:hAnsi="宋体" w:eastAsia="宋体"/>
                <w:b w:val="0"/>
                <w:sz w:val="21"/>
              </w:rPr>
              <w:t>把培训成果沉淀为组织资产：案例集既是成果展示，也是新员工培训素材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color w:val="0E7490"/>
          <w:sz w:val="28"/>
        </w:rPr>
        <w:t>七、教学反思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教学效果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待课后填写：记录作品、自建Skill、智能体和痛点方案的实际完成数量与验收结果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诊断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待课后填写：记录岗位任务拆解、多Agent理解等环节的真实卡点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改进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待课后填写：依据学员作品、练习记录和反馈确定下一轮脚手架改进</w:t>
            </w:r>
          </w:p>
        </w:tc>
      </w:tr>
    </w:tbl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