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color w:val="155E75"/>
          <w:sz w:val="32"/>
        </w:rPr>
        <w:t>人工智能生成艺术教案</w:t>
      </w:r>
    </w:p>
    <w:p>
      <w:pPr>
        <w:spacing w:after="200"/>
        <w:jc w:val="center"/>
      </w:pPr>
      <w:r>
        <w:rPr>
          <w:rFonts w:ascii="黑体" w:hAnsi="黑体" w:eastAsia="黑体"/>
          <w:b/>
          <w:sz w:val="24"/>
        </w:rPr>
        <w:t>2025～2026学年第 一 学期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学院（部）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传媒与设计艺术学院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教研室（系）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数字媒体艺术系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授课班级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课程学分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3学分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课程学时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54学时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课程周学时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3学时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sz w:val="22"/>
              </w:rPr>
              <w:t>任课教师</w:t>
            </w:r>
          </w:p>
        </w:tc>
        <w:tc>
          <w:tcPr>
            <w:tcW w:type="dxa" w:w="3572"/>
          </w:tcPr>
          <w:p>
            <w:r>
              <w:rPr>
                <w:rFonts w:ascii="宋体" w:hAnsi="宋体" w:eastAsia="宋体"/>
                <w:b w:val="0"/>
                <w:sz w:val="22"/>
              </w:rPr>
              <w:t>张冬冬、黄彬</w:t>
            </w:r>
          </w:p>
        </w:tc>
      </w:tr>
    </w:tbl>
    <w:p>
      <w:pPr>
        <w:spacing w:after="200"/>
      </w:pPr>
      <w:r>
        <w:rPr>
          <w:rFonts w:ascii="宋体" w:hAnsi="宋体" w:eastAsia="宋体"/>
          <w:b w:val="0"/>
          <w:color w:val="6B7280"/>
          <w:sz w:val="18"/>
        </w:rPr>
        <w:t>填写说明：1、填写封面时用课程名称替换封面上的课程名称，删除说明文字。2、教学环境填写普通教室、多媒体教室、语音室、实验室等。</w:t>
      </w: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30"/>
        </w:rPr>
        <w:t>第1章 导论</w:t>
      </w:r>
    </w:p>
    <w:p>
      <w:pPr>
        <w:spacing w:after="40"/>
      </w:pPr>
      <w:r>
        <w:rPr>
          <w:rFonts w:ascii="黑体" w:hAnsi="黑体" w:eastAsia="黑体"/>
          <w:b/>
          <w:color w:val="0E7490"/>
          <w:sz w:val="24"/>
        </w:rPr>
        <w:t>课时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3</w:t>
      </w:r>
    </w:p>
    <w:p>
      <w:pPr>
        <w:spacing w:after="40"/>
      </w:pPr>
      <w:r>
        <w:rPr>
          <w:rFonts w:ascii="黑体" w:hAnsi="黑体" w:eastAsia="黑体"/>
          <w:b/>
          <w:color w:val="0E7490"/>
          <w:sz w:val="24"/>
        </w:rPr>
        <w:t>教学方法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■讲授法  □讨论法  ■案例教学  ■参与式教学  □其他</w:t>
      </w:r>
    </w:p>
    <w:p>
      <w:pPr>
        <w:spacing w:after="40"/>
      </w:pPr>
      <w:r>
        <w:rPr>
          <w:rFonts w:ascii="黑体" w:hAnsi="黑体" w:eastAsia="黑体"/>
          <w:b/>
          <w:color w:val="0E7490"/>
          <w:sz w:val="24"/>
        </w:rPr>
        <w:t>教学目的及要求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目的：理解人工智能基本概念与发展阶段；阐述AIGC的定义、分类及应用场景；列举生成模型的主要类型（GANs、VAEs、Diffusion Models、Transformers）；能够结合艺术与设计领域分析至少1个AIGC应用案例；能够识别主流AIGC技术分类（文本、图像、音视频、多模态）；能够就AI伦理与版权议题提出自己的立场与理由。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要求：树立负责任的创新意识，明确课程学习路径与项目导向；养成关注AI伦理、版权与合规边界的职业习惯。</w:t>
      </w:r>
    </w:p>
    <w:p>
      <w:pPr>
        <w:spacing w:after="40"/>
      </w:pPr>
      <w:r>
        <w:rPr>
          <w:rFonts w:ascii="黑体" w:hAnsi="黑体" w:eastAsia="黑体"/>
          <w:b/>
          <w:color w:val="0E7490"/>
          <w:sz w:val="24"/>
        </w:rPr>
        <w:t>教学环境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多媒体机房</w:t>
      </w:r>
    </w:p>
    <w:p>
      <w:pPr>
        <w:spacing w:after="40"/>
      </w:pPr>
      <w:r>
        <w:rPr>
          <w:rFonts w:ascii="黑体" w:hAnsi="黑体" w:eastAsia="黑体"/>
          <w:b/>
          <w:color w:val="0E7490"/>
          <w:sz w:val="24"/>
        </w:rPr>
        <w:t>重点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重点：人工智能生成艺术的定义与分类、AIGC的发展现状与艺术设计领域的应用趋势、生成模型（GANs、VAEs、Diffusion、Transformers）概念性认知</w:t>
      </w:r>
    </w:p>
    <w:p>
      <w:pPr>
        <w:spacing w:after="40"/>
      </w:pPr>
      <w:r>
        <w:rPr>
          <w:rFonts w:ascii="黑体" w:hAnsi="黑体" w:eastAsia="黑体"/>
          <w:b/>
          <w:color w:val="0E7490"/>
          <w:sz w:val="24"/>
        </w:rPr>
        <w:t>难点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难点：学生易将'生成模型'与'AI绘画工具'混为一谈（认知误区）、如何理解不同生成模型的技术差异与适用场景、AI版权与伦理议题缺乏具体案例支撑，讨论易泛化</w:t>
      </w:r>
    </w:p>
    <w:p>
      <w:pPr>
        <w:spacing w:after="40"/>
      </w:pPr>
      <w:r>
        <w:rPr>
          <w:rFonts w:ascii="黑体" w:hAnsi="黑体" w:eastAsia="黑体"/>
          <w:b/>
          <w:color w:val="0E7490"/>
          <w:sz w:val="24"/>
        </w:rPr>
        <w:t>讲授内容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第一节 导入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课程介绍与学习目标（15分钟）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课程介绍、学习目标与最终项目预览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项目导向：本课程最终作品集要求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（学生活动：了解课程框架与考核方式，记录个人学习目标）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第一节 AIGC概览与AI发展基石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人工智能(AI)发展历程概览（关键节点与突破）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AI核心技术简介：机器学习、深度学习基础概念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（学生活动：跟随时间线梳理AI发展脉络，填写'三起两落'关键节点表）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第二节 生成模型与AIGC艺术设计初探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生成模型概览：GANs、VAEs、Diffusion Models、Transformers（概念性介绍）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AIGC的定义与发展现状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3. AIGC在艺术与设计领域的应用案例分析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（学生活动：对比四类生成模型特点，分组分析1个AIGC应用案例）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第三节 AIGC技术分类与伦理基石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主流AIGC技术分类详解（文本、图像、音视频、多模态）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重要议题：AI伦理、版权问题与负责任的创新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3. 小组讨论：'AI生成的艺术品属于谁？'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（学生活动：完成AIGC四类技术归类练习，参与伦理议题小组讨论并发表观点）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第五节 小结作业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课堂小结与作业布置（15分钟）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回顾知识地图：AI发展→生成模型→AIGC→伦理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3. 布置思考题作业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（学生活动：回顾本课知识地图，记录作业要求）</w:t>
      </w:r>
    </w:p>
    <w:p>
      <w:pPr>
        <w:spacing w:after="40"/>
      </w:pPr>
      <w:r>
        <w:rPr>
          <w:rFonts w:ascii="黑体" w:hAnsi="黑体" w:eastAsia="黑体"/>
          <w:b/>
          <w:color w:val="0E7490"/>
          <w:sz w:val="24"/>
        </w:rPr>
        <w:t>思考题和作业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搜集并分享一个你认为有趣的AIGC应用案例，并简述其可能涉及的技术类型和潜在的伦理考量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（学生课后活动：搜集AIGC案例，撰写案例分析（技术类型+伦理考量），提交到课程平台）</w:t>
      </w:r>
    </w:p>
    <w:p>
      <w:pPr>
        <w:spacing w:after="40"/>
      </w:pPr>
      <w:r>
        <w:rPr>
          <w:rFonts w:ascii="黑体" w:hAnsi="黑体" w:eastAsia="黑体"/>
          <w:b/>
          <w:color w:val="0E7490"/>
          <w:sz w:val="24"/>
        </w:rPr>
        <w:t>参考文献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before="200" w:after="120"/>
      </w:pPr>
      <w:r>
        <w:rPr>
          <w:rFonts w:ascii="黑体" w:hAnsi="黑体" w:eastAsia="黑体"/>
          <w:b/>
          <w:color w:val="0E7490"/>
          <w:sz w:val="26"/>
        </w:rPr>
        <w:t>教学反思（附加）</w:t>
      </w:r>
    </w:p>
    <w:p>
      <w:pPr>
        <w:spacing w:after="40"/>
      </w:pPr>
      <w:r>
        <w:rPr>
          <w:rFonts w:ascii="黑体" w:hAnsi="黑体" w:eastAsia="黑体"/>
          <w:b/>
          <w:color w:val="0E7490"/>
          <w:sz w:val="24"/>
        </w:rPr>
        <w:t>教学效果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预期效果：全班完成AIGC案例作业，90%以上学生能正确归类四类生成模型与AIGC技术分类；学生对课程项目导向形成明确认知</w:t>
      </w:r>
    </w:p>
    <w:p>
      <w:pPr>
        <w:spacing w:after="40"/>
      </w:pPr>
      <w:r>
        <w:rPr>
          <w:rFonts w:ascii="黑体" w:hAnsi="黑体" w:eastAsia="黑体"/>
          <w:b/>
          <w:color w:val="0E7490"/>
          <w:sz w:val="24"/>
        </w:rPr>
        <w:t>诊断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诊断：零基础学生易在'生成模型四类差异'处概念混淆；伦理讨论若无具体案例支撑易泛化空谈</w:t>
      </w:r>
    </w:p>
    <w:p>
      <w:pPr>
        <w:spacing w:after="40"/>
      </w:pPr>
      <w:r>
        <w:rPr>
          <w:rFonts w:ascii="黑体" w:hAnsi="黑体" w:eastAsia="黑体"/>
          <w:b/>
          <w:color w:val="0E7490"/>
          <w:sz w:val="24"/>
        </w:rPr>
        <w:t>改进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改进：生成模型差异改用'作画风格类比'（对抗式/重构式/去噪式/注意力式）；伦理环节预置2个真实版权争议案例供讨论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