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11F58" w14:textId="77777777" w:rsidR="00144BD8" w:rsidRPr="003A7F5C" w:rsidRDefault="00144BD8" w:rsidP="00144BD8">
      <w:pPr>
        <w:outlineLvl w:val="0"/>
        <w:rPr>
          <w:b/>
          <w:sz w:val="40"/>
        </w:rPr>
      </w:pPr>
      <w:r>
        <w:rPr>
          <w:b/>
          <w:sz w:val="40"/>
        </w:rPr>
        <w:t>Discussion</w:t>
      </w:r>
    </w:p>
    <w:p w14:paraId="5FAC6096" w14:textId="13583BBE" w:rsidR="006E6E00" w:rsidRDefault="00E6398B">
      <w:r>
        <w:t>Single nucleotide polymorphisms are good indicators of evolutionary sel</w:t>
      </w:r>
      <w:r w:rsidR="003E3779">
        <w:t>ection for different genomic regions</w:t>
      </w:r>
      <w:r w:rsidR="00144BD8">
        <w:t xml:space="preserve"> </w:t>
      </w:r>
      <w:r w:rsidR="003E3779">
        <w:t xml:space="preserve">and have already been employed to study natural selections on </w:t>
      </w:r>
      <w:r w:rsidR="00EA3133">
        <w:t>human</w:t>
      </w:r>
      <w:r w:rsidR="00C17C71">
        <w:t xml:space="preserve"> miRNAs</w:t>
      </w:r>
      <w:r w:rsidR="00EA3133">
        <w:t xml:space="preserve"> [28, 29].</w:t>
      </w:r>
      <w:r w:rsidR="00C17C71">
        <w:t xml:space="preserve"> In these studies, SNPs on functional regions such as pre-miRNAs especially seed-regions as well as miRNA binding site were </w:t>
      </w:r>
      <w:r w:rsidR="003A214A">
        <w:t>very rare and much less than other conserved sequence motifs in 3’ UTR</w:t>
      </w:r>
      <w:r w:rsidR="00877852">
        <w:t xml:space="preserve"> [28, 29]</w:t>
      </w:r>
      <w:r w:rsidR="003A214A">
        <w:t xml:space="preserve">. </w:t>
      </w:r>
      <w:r w:rsidR="00877852">
        <w:rPr>
          <w:rFonts w:hint="eastAsia"/>
        </w:rPr>
        <w:t>And</w:t>
      </w:r>
      <w:r w:rsidR="00877852">
        <w:t xml:space="preserve"> </w:t>
      </w:r>
      <w:r w:rsidR="005E4A32">
        <w:t>similar</w:t>
      </w:r>
      <w:r w:rsidR="00211710">
        <w:t xml:space="preserve"> phenomena</w:t>
      </w:r>
      <w:r w:rsidR="00877852">
        <w:t xml:space="preserve"> were also observed in this study</w:t>
      </w:r>
      <w:r w:rsidR="00B70DC1">
        <w:t xml:space="preserve"> that</w:t>
      </w:r>
      <w:r w:rsidR="005E4A32">
        <w:t xml:space="preserve"> </w:t>
      </w:r>
      <w:r w:rsidR="009A3AF0">
        <w:t>we found SNP density in pre-miRNAs were fewer than that in intergenic regions as well as exons, implying miRNAs have been subjected to stricter evolutionary pressure than intergenic regions and exons</w:t>
      </w:r>
      <w:r w:rsidR="00B70DC1">
        <w:t xml:space="preserve">. This is consistent with the role of miRNAs as master regulators in plants. There are big differences between conserved miRNAs and non-conserved miRNAs, the so-called rice specific miRNAs or newly arising miRNAs. </w:t>
      </w:r>
      <w:r w:rsidR="00A00892">
        <w:t>Generally, conserved miRNAs are conserved across different species and have identifiable binding sites on targets which are also conserved among species</w:t>
      </w:r>
      <w:r w:rsidR="00A70356">
        <w:t xml:space="preserve"> and they tend to target genes encoding transcriptional factors (TFs)</w:t>
      </w:r>
      <w:r w:rsidR="00A00892">
        <w:t>,</w:t>
      </w:r>
      <w:r w:rsidR="00EB1823">
        <w:t xml:space="preserve"> while non-conserved miRNAs are commonly taken as new-comers with </w:t>
      </w:r>
      <w:r w:rsidR="00A70356">
        <w:t xml:space="preserve">few if any identifiable binding sites in targets both by bioinformatics and degradome sequencing [20]. Our comparative analysis of SNPs fallen unto conserved miRNAs and non-conserved ones had deduced similar results, SNP density of conserved miRNA precursors was significantly less than that of non-conserved ones, showing the </w:t>
      </w:r>
      <w:r w:rsidR="00260204">
        <w:t xml:space="preserve">more important regulation role of conserved miRNAs would impose greater selection pressure on non-conserved miRNAs. </w:t>
      </w:r>
      <w:r w:rsidR="005D315A">
        <w:t>P</w:t>
      </w:r>
      <w:r w:rsidR="00260204">
        <w:t>revious study conducted by Liu Q et al</w:t>
      </w:r>
      <w:r w:rsidR="00237565">
        <w:t>.</w:t>
      </w:r>
      <w:r w:rsidR="00260204">
        <w:t xml:space="preserve"> found when </w:t>
      </w:r>
      <w:r w:rsidR="00A57669">
        <w:t xml:space="preserve">less conserved miRNAs </w:t>
      </w:r>
      <w:r w:rsidR="005D315A">
        <w:t xml:space="preserve">were </w:t>
      </w:r>
      <w:r w:rsidR="00A57669">
        <w:t xml:space="preserve">excluded, pre-miRNAs accumulated much fewer SNPs, and this also confirmed the stricter purifying pressure on conserved miRNAs. </w:t>
      </w:r>
      <w:r w:rsidR="00F04F8A">
        <w:t>Considering the different evolutionary processes of conserved and non-conserved miRNAs</w:t>
      </w:r>
      <w:r w:rsidR="005969FC">
        <w:t xml:space="preserve"> [</w:t>
      </w:r>
      <w:r w:rsidR="0050343A">
        <w:t>30, 31</w:t>
      </w:r>
      <w:r w:rsidR="005969FC">
        <w:t>]</w:t>
      </w:r>
      <w:r w:rsidR="00F04F8A">
        <w:t xml:space="preserve"> and the fact that by the common </w:t>
      </w:r>
      <w:r w:rsidR="00B119AB">
        <w:t xml:space="preserve">target prediction </w:t>
      </w:r>
      <w:r w:rsidR="005969FC">
        <w:t>methods few identifiable targets are found for non-conserved miRNAs</w:t>
      </w:r>
      <w:r w:rsidR="009A73E3">
        <w:t>, the functioning mechanism</w:t>
      </w:r>
      <w:r w:rsidR="0050343A">
        <w:t>s</w:t>
      </w:r>
      <w:r w:rsidR="009A73E3">
        <w:t xml:space="preserve"> of miRNA towards miRNA binding sites of targets may be different. In our study, the comparison of positional SNP frequency distributions between conserved mature miRNAs and non-conserved mature miRNAs showed distinct rankings of SNP frequencies along the positions, which indicated different selection pressure distribution among the positions for conserved and non-conserved miRNAs.</w:t>
      </w:r>
      <w:r w:rsidR="0050343A">
        <w:t xml:space="preserve"> </w:t>
      </w:r>
      <w:r w:rsidR="004163AB">
        <w:t>It was</w:t>
      </w:r>
      <w:r w:rsidR="001F4D23">
        <w:t xml:space="preserve"> reported </w:t>
      </w:r>
      <w:r w:rsidR="004163AB">
        <w:t xml:space="preserve">that </w:t>
      </w:r>
      <w:r w:rsidR="001F4D23">
        <w:t>the</w:t>
      </w:r>
      <w:r w:rsidR="004163AB">
        <w:t>re was</w:t>
      </w:r>
      <w:r w:rsidR="001F4D23">
        <w:t xml:space="preserve"> coevolution of miRNAs and their cognate target genes [</w:t>
      </w:r>
      <w:r w:rsidR="00A45AA6">
        <w:t>37</w:t>
      </w:r>
      <w:r w:rsidR="004163AB">
        <w:t xml:space="preserve">, </w:t>
      </w:r>
      <w:r w:rsidR="00266046">
        <w:t>55</w:t>
      </w:r>
      <w:r w:rsidR="001F4D23">
        <w:t xml:space="preserve">], </w:t>
      </w:r>
      <w:r w:rsidR="004163AB">
        <w:t xml:space="preserve">and here in our study, correlation tests of positional SNP frequencies of conserved miRNAs and that of cognate targets showed moderate positive correlation </w:t>
      </w:r>
      <w:r w:rsidR="001B71B2">
        <w:t xml:space="preserve">with statistical significance, which </w:t>
      </w:r>
      <w:r w:rsidR="0078667F">
        <w:t>provided molecular evidence for the coevolution of miRNAs and their cognate targets.</w:t>
      </w:r>
    </w:p>
    <w:p w14:paraId="39A06C40" w14:textId="77777777" w:rsidR="00DA4EC8" w:rsidRDefault="00DA4EC8"/>
    <w:p w14:paraId="0E6AA9A2" w14:textId="6BA35644" w:rsidR="00550AA8" w:rsidRDefault="00550AA8" w:rsidP="006F09BB">
      <w:pPr>
        <w:ind w:firstLine="227"/>
      </w:pPr>
      <w:r>
        <w:t xml:space="preserve">In plants, miRNAs serve as master regulator through high complementarity towards binding site of targets and previous researches revealed the different importance of different positions </w:t>
      </w:r>
      <w:r w:rsidR="00776F3B">
        <w:t>on target recognition and cleavage [32</w:t>
      </w:r>
      <w:r w:rsidR="00F22579">
        <w:t>, 33, 34</w:t>
      </w:r>
      <w:r w:rsidR="00776F3B">
        <w:t>]</w:t>
      </w:r>
      <w:r w:rsidR="006F09BB">
        <w:t>.</w:t>
      </w:r>
      <w:r w:rsidR="00F22579">
        <w:t xml:space="preserve"> 5’ terminal nucleotide, which is position 1 on mature miRNA, determines which Argonaut protein to load for miRNA [35], and this layer of constraint on position 1 was reflected in this study as the lowest SNP frequency </w:t>
      </w:r>
      <w:r w:rsidR="008A1794">
        <w:t>position</w:t>
      </w:r>
      <w:r w:rsidR="00F22579">
        <w:t xml:space="preserve"> both for conserved and non-conserved miRNAs. But</w:t>
      </w:r>
      <w:r w:rsidR="00107D35">
        <w:t xml:space="preserve"> unexpectedly,</w:t>
      </w:r>
      <w:r w:rsidR="00F22579">
        <w:t xml:space="preserve"> position 10 and 11, conventionally regarded as cleavag</w:t>
      </w:r>
      <w:r w:rsidR="00CE591F">
        <w:t>e sites and were required to be perfect pairing to binding sites [37-39]</w:t>
      </w:r>
      <w:r w:rsidR="008A1794">
        <w:t>, were not even among the lowest SNP frequency positions</w:t>
      </w:r>
      <w:r w:rsidR="00107D35">
        <w:t xml:space="preserve"> (Fig. 5). </w:t>
      </w:r>
      <w:r w:rsidR="00DB19E7">
        <w:t>And this implied selection constraints imposed other sites with lower SNP frequencies are stronger than the cleavage site constraint imposed on these two positions.</w:t>
      </w:r>
      <w:r w:rsidR="00237565">
        <w:t xml:space="preserve"> Liu Q et al. had similar finding for position 1 and 10, </w:t>
      </w:r>
      <w:r w:rsidR="008565E4">
        <w:t>except that</w:t>
      </w:r>
      <w:r w:rsidR="00237565">
        <w:t xml:space="preserve"> position 11 was reported to have </w:t>
      </w:r>
      <w:r w:rsidR="00237565">
        <w:lastRenderedPageBreak/>
        <w:t>the lowest SNP frequency</w:t>
      </w:r>
      <w:r w:rsidR="000556A6">
        <w:t xml:space="preserve"> and the conflict was caused by the separate treating of conserved and non-conserved miRNAs. The separate treating of conserved miRNAs and non-conserved miRNAs would specify the general trend for the two class of miRNAs which have been reported to have different functioning mechanisms.</w:t>
      </w:r>
    </w:p>
    <w:p w14:paraId="743170A0" w14:textId="730046B2" w:rsidR="00DA4EC8" w:rsidRDefault="00DA4EC8" w:rsidP="00F7124A">
      <w:pPr>
        <w:ind w:firstLine="227"/>
      </w:pPr>
      <w:r>
        <w:t xml:space="preserve">In order to search for biologically relevant target genes for miRNAs, generally ways such as 5’-RACE or degradome sequencing would be adopted. But for the abundant outcome of bioinformatic miRNA target prediction programs, expression correlation of miRNA and mRNA of cognate target genes was </w:t>
      </w:r>
      <w:r w:rsidR="00F904BC">
        <w:t>thought</w:t>
      </w:r>
      <w:r>
        <w:t xml:space="preserve"> to be feasible</w:t>
      </w:r>
      <w:r w:rsidR="00441B62">
        <w:t xml:space="preserve"> way to search for those biologically relevant ones</w:t>
      </w:r>
      <w:r>
        <w:t>.</w:t>
      </w:r>
      <w:r w:rsidR="00441B62">
        <w:t xml:space="preserve"> In this study, degradome validated </w:t>
      </w:r>
      <w:proofErr w:type="gramStart"/>
      <w:r w:rsidR="00441B62">
        <w:t>miRNA:target</w:t>
      </w:r>
      <w:proofErr w:type="gramEnd"/>
      <w:r w:rsidR="00441B62">
        <w:t xml:space="preserve"> pairs were found not to be fully negatively correlated and in contrast, more interaction pairs were positively correlated than negative correlated pairs. </w:t>
      </w:r>
      <w:r w:rsidR="00441B62" w:rsidRPr="00441B62">
        <w:t>M</w:t>
      </w:r>
      <w:r w:rsidR="00441B62">
        <w:t>ing</w:t>
      </w:r>
      <w:r w:rsidR="00441B62" w:rsidRPr="00441B62">
        <w:t xml:space="preserve"> Wen</w:t>
      </w:r>
      <w:r w:rsidR="00441B62">
        <w:t xml:space="preserve"> et al.</w:t>
      </w:r>
      <w:r>
        <w:t xml:space="preserve"> </w:t>
      </w:r>
      <w:r w:rsidR="00441B62">
        <w:t>had found similar phenomenon, in whose study positively correlated interaction pairs prevailed [</w:t>
      </w:r>
      <w:r w:rsidR="00266046">
        <w:t>56</w:t>
      </w:r>
      <w:r w:rsidR="00441B62">
        <w:t xml:space="preserve">]. </w:t>
      </w:r>
      <w:r w:rsidR="00D41494">
        <w:rPr>
          <w:rFonts w:hint="eastAsia"/>
        </w:rPr>
        <w:t>And</w:t>
      </w:r>
      <w:r w:rsidR="00E86C3E">
        <w:t xml:space="preserve"> this may be caused by more complex mechanisms </w:t>
      </w:r>
      <w:r w:rsidR="00F7124A">
        <w:t xml:space="preserve">such as </w:t>
      </w:r>
      <w:r w:rsidR="00F7124A" w:rsidRPr="00F7124A">
        <w:t>negative feedback loops (FBLs) and inco</w:t>
      </w:r>
      <w:r w:rsidR="00F7124A">
        <w:t xml:space="preserve">herent feedforward loops (FFLs) </w:t>
      </w:r>
      <w:r w:rsidR="00363007">
        <w:t xml:space="preserve">mentioned by </w:t>
      </w:r>
      <w:r w:rsidR="00363007" w:rsidRPr="00441B62">
        <w:t>M</w:t>
      </w:r>
      <w:r w:rsidR="00363007">
        <w:t>ing</w:t>
      </w:r>
      <w:r w:rsidR="00363007" w:rsidRPr="00441B62">
        <w:t xml:space="preserve"> Wen</w:t>
      </w:r>
      <w:r w:rsidR="00363007">
        <w:t xml:space="preserve"> et al.</w:t>
      </w:r>
      <w:r w:rsidR="00363007">
        <w:t xml:space="preserve"> Also, the results showed that it’s not practical to use expression correlation for target screening.</w:t>
      </w:r>
    </w:p>
    <w:p w14:paraId="3D573666" w14:textId="161B8439" w:rsidR="00363007" w:rsidRDefault="001A27E7" w:rsidP="00F7124A">
      <w:pPr>
        <w:ind w:firstLine="227"/>
      </w:pPr>
      <w:r>
        <w:t xml:space="preserve">No studies before had tried to adopt haplotype analysis to study the actual mutations caused by SNPs of miRNA-mediated regulations that happen to rice cultivars. In this study, haplotype analysis was extended to be combined complementarity pattern analysis (CCPA) and </w:t>
      </w:r>
      <w:r w:rsidR="002C732A">
        <w:t xml:space="preserve">could help to study the polymorphisms of interactions between a family of miRNAs and their common target gene among different rice cultivars. </w:t>
      </w:r>
      <w:r w:rsidR="008228E4">
        <w:t>And the afterward found complement</w:t>
      </w:r>
      <w:r w:rsidR="0017290E">
        <w:t>arity</w:t>
      </w:r>
      <w:r w:rsidR="00504F27">
        <w:t xml:space="preserve"> recovery phenomenon of osa-miR818 family </w:t>
      </w:r>
      <w:r w:rsidR="005C56DF">
        <w:t>implied</w:t>
      </w:r>
      <w:r w:rsidR="00504F27">
        <w:t xml:space="preserve"> that less conserved miRNAs subject to low selection pressure and allow more flexible changes to the </w:t>
      </w:r>
      <w:proofErr w:type="gramStart"/>
      <w:r w:rsidR="00504F27">
        <w:t>miRNA:target</w:t>
      </w:r>
      <w:proofErr w:type="gramEnd"/>
      <w:r w:rsidR="00504F27">
        <w:t xml:space="preserve"> complementarity patterns.</w:t>
      </w:r>
    </w:p>
    <w:p w14:paraId="0C3627F8" w14:textId="5F36839A" w:rsidR="00504F27" w:rsidRPr="00820A2C" w:rsidRDefault="005C56DF" w:rsidP="00F7124A">
      <w:pPr>
        <w:ind w:firstLine="227"/>
      </w:pPr>
      <w:r>
        <w:t>Several studies showed the SNPs involved in miRNA-mediated regulation would cause apparent changes to plant phenotypes [21, 22].</w:t>
      </w:r>
      <w:r w:rsidR="008F3311">
        <w:t xml:space="preserve"> </w:t>
      </w:r>
      <w:r w:rsidR="002528AD">
        <w:t>While</w:t>
      </w:r>
      <w:r w:rsidR="008F3311">
        <w:t xml:space="preserve"> here in this study, </w:t>
      </w:r>
      <w:r w:rsidR="002528AD">
        <w:t xml:space="preserve">genome-wide analysis of SNPs involved in miRNA-mediated regulations found 7 target genes carrying SNPs on their miRNA binding sites and two </w:t>
      </w:r>
      <w:bookmarkStart w:id="0" w:name="_GoBack"/>
      <w:bookmarkEnd w:id="0"/>
      <w:r w:rsidR="002528AD">
        <w:t xml:space="preserve">of them are promising in bringing big effects to miRNA’s regulation. </w:t>
      </w:r>
      <w:r w:rsidR="00FC5378">
        <w:t xml:space="preserve">One of them was located in cleavage site position 10 and the other brought up the free energy of binding by 6.575 kcal/mol. But </w:t>
      </w:r>
      <w:r w:rsidR="0004299C">
        <w:t xml:space="preserve">unexpectedly, </w:t>
      </w:r>
      <w:r w:rsidR="00FC5378">
        <w:t xml:space="preserve">the comparison of relevant </w:t>
      </w:r>
      <w:r w:rsidR="000C7D65">
        <w:t>phenotypes of the SNP mutated rice cultivars and those of the reference pattern rice cultivars didn’t show distinct changes</w:t>
      </w:r>
      <w:r w:rsidR="00EC1749">
        <w:t>.</w:t>
      </w:r>
      <w:r w:rsidR="0004299C">
        <w:t xml:space="preserve"> </w:t>
      </w:r>
      <w:r w:rsidR="006A62B9">
        <w:t>And this implied that these plant phenotypes are controlled by more than one gene so that predicted changes in a single gene expression would not be reflected in the phenotype changes.</w:t>
      </w:r>
    </w:p>
    <w:p w14:paraId="78DEE89E" w14:textId="77777777" w:rsidR="00A2077B" w:rsidRDefault="00A2077B" w:rsidP="006F09BB">
      <w:pPr>
        <w:ind w:firstLine="227"/>
      </w:pPr>
    </w:p>
    <w:p w14:paraId="1B61DE2E" w14:textId="77777777" w:rsidR="004163AB" w:rsidRDefault="004163AB"/>
    <w:p w14:paraId="1C872EB5" w14:textId="77777777" w:rsidR="00F22579" w:rsidRDefault="00F22579"/>
    <w:p w14:paraId="09179765" w14:textId="77777777" w:rsidR="00F22579" w:rsidRDefault="00F22579"/>
    <w:p w14:paraId="56907BF2" w14:textId="688692D2" w:rsidR="004163AB" w:rsidRDefault="00266046">
      <w:r>
        <w:t>[55</w:t>
      </w:r>
      <w:r w:rsidR="004163AB">
        <w:t xml:space="preserve">] </w:t>
      </w:r>
      <w:proofErr w:type="spellStart"/>
      <w:r w:rsidR="004163AB">
        <w:t>Arikit</w:t>
      </w:r>
      <w:proofErr w:type="spellEnd"/>
      <w:r w:rsidR="004163AB">
        <w:t xml:space="preserve"> S, </w:t>
      </w:r>
      <w:proofErr w:type="spellStart"/>
      <w:r w:rsidR="004163AB">
        <w:t>Zhai</w:t>
      </w:r>
      <w:proofErr w:type="spellEnd"/>
      <w:r w:rsidR="004163AB">
        <w:t xml:space="preserve"> J, Meyers BC, 2013,</w:t>
      </w:r>
      <w:r w:rsidR="004163AB" w:rsidRPr="004163AB">
        <w:t xml:space="preserve"> Biogenesis and function of rice small RNAs from non-coding RNA precursors. </w:t>
      </w:r>
      <w:r w:rsidR="004163AB">
        <w:t>(</w:t>
      </w:r>
      <w:proofErr w:type="spellStart"/>
      <w:r w:rsidR="004163AB" w:rsidRPr="004163AB">
        <w:t>Curr</w:t>
      </w:r>
      <w:proofErr w:type="spellEnd"/>
      <w:r w:rsidR="004163AB" w:rsidRPr="004163AB">
        <w:t xml:space="preserve"> </w:t>
      </w:r>
      <w:proofErr w:type="spellStart"/>
      <w:r w:rsidR="004163AB" w:rsidRPr="004163AB">
        <w:t>Opin</w:t>
      </w:r>
      <w:proofErr w:type="spellEnd"/>
      <w:r w:rsidR="004163AB" w:rsidRPr="004163AB">
        <w:t xml:space="preserve"> Plant </w:t>
      </w:r>
      <w:proofErr w:type="spellStart"/>
      <w:r w:rsidR="004163AB" w:rsidRPr="004163AB">
        <w:t>Biol</w:t>
      </w:r>
      <w:proofErr w:type="spellEnd"/>
      <w:r w:rsidR="004163AB">
        <w:t>)</w:t>
      </w:r>
      <w:r w:rsidR="004163AB" w:rsidRPr="004163AB">
        <w:t xml:space="preserve"> 16(2):170–179.</w:t>
      </w:r>
    </w:p>
    <w:p w14:paraId="6E75EF1C" w14:textId="6C92B891" w:rsidR="00441B62" w:rsidRDefault="00441B62">
      <w:r>
        <w:t>[</w:t>
      </w:r>
      <w:r w:rsidR="00266046">
        <w:t>56</w:t>
      </w:r>
      <w:r>
        <w:t xml:space="preserve">] </w:t>
      </w:r>
      <w:r w:rsidRPr="00441B62">
        <w:t xml:space="preserve">M Wen, M </w:t>
      </w:r>
      <w:proofErr w:type="spellStart"/>
      <w:r w:rsidRPr="00441B62">
        <w:t>Xie</w:t>
      </w:r>
      <w:proofErr w:type="spellEnd"/>
      <w:r>
        <w:t xml:space="preserve"> et al. 2016, </w:t>
      </w:r>
      <w:r w:rsidRPr="00441B62">
        <w:t>Expression Variations of miRNAs and mRNAs in Rice (</w:t>
      </w:r>
      <w:proofErr w:type="spellStart"/>
      <w:r w:rsidRPr="00441B62">
        <w:t>Oryza</w:t>
      </w:r>
      <w:proofErr w:type="spellEnd"/>
      <w:r w:rsidRPr="00441B62">
        <w:t xml:space="preserve"> sativa)</w:t>
      </w:r>
      <w:r>
        <w:t>. (Genome Biology and Evolution) 8:</w:t>
      </w:r>
      <w:r w:rsidRPr="00441B62">
        <w:t>3529-3544</w:t>
      </w:r>
    </w:p>
    <w:p w14:paraId="78D68B56" w14:textId="7ECC170A" w:rsidR="000F432A" w:rsidRPr="00144BD8" w:rsidRDefault="000F432A"/>
    <w:sectPr w:rsidR="000F432A" w:rsidRPr="00144BD8" w:rsidSect="00B566D7">
      <w:pgSz w:w="11900" w:h="16840"/>
      <w:pgMar w:top="1440" w:right="1800" w:bottom="1440" w:left="180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666BF"/>
    <w:multiLevelType w:val="hybridMultilevel"/>
    <w:tmpl w:val="2E34FF56"/>
    <w:lvl w:ilvl="0" w:tplc="FC723172">
      <w:start w:val="1"/>
      <w:numFmt w:val="decimal"/>
      <w:lvlText w:val="[%1]"/>
      <w:lvlJc w:val="left"/>
      <w:pPr>
        <w:ind w:left="227" w:firstLine="13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A145F"/>
    <w:multiLevelType w:val="multilevel"/>
    <w:tmpl w:val="6F42AA3A"/>
    <w:lvl w:ilvl="0">
      <w:start w:val="1"/>
      <w:numFmt w:val="decimal"/>
      <w:pStyle w:val="Endnote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D8"/>
    <w:rsid w:val="0004299C"/>
    <w:rsid w:val="000556A6"/>
    <w:rsid w:val="00060D91"/>
    <w:rsid w:val="000C7D65"/>
    <w:rsid w:val="000F432A"/>
    <w:rsid w:val="001061C6"/>
    <w:rsid w:val="00107D35"/>
    <w:rsid w:val="0013651E"/>
    <w:rsid w:val="00144BD8"/>
    <w:rsid w:val="00154A2D"/>
    <w:rsid w:val="0017290E"/>
    <w:rsid w:val="001A27E7"/>
    <w:rsid w:val="001B71B2"/>
    <w:rsid w:val="001C5CF5"/>
    <w:rsid w:val="001F38F4"/>
    <w:rsid w:val="001F4D23"/>
    <w:rsid w:val="00211710"/>
    <w:rsid w:val="002170EF"/>
    <w:rsid w:val="00237565"/>
    <w:rsid w:val="002528AD"/>
    <w:rsid w:val="00260204"/>
    <w:rsid w:val="00266046"/>
    <w:rsid w:val="002C2964"/>
    <w:rsid w:val="002C732A"/>
    <w:rsid w:val="003519FC"/>
    <w:rsid w:val="00363007"/>
    <w:rsid w:val="00363A26"/>
    <w:rsid w:val="0038199D"/>
    <w:rsid w:val="00397336"/>
    <w:rsid w:val="003A214A"/>
    <w:rsid w:val="003E3779"/>
    <w:rsid w:val="003F64F8"/>
    <w:rsid w:val="004163AB"/>
    <w:rsid w:val="00441B62"/>
    <w:rsid w:val="00466BB0"/>
    <w:rsid w:val="004B2BFD"/>
    <w:rsid w:val="004F71A2"/>
    <w:rsid w:val="005026A5"/>
    <w:rsid w:val="0050343A"/>
    <w:rsid w:val="00504F27"/>
    <w:rsid w:val="00533A7C"/>
    <w:rsid w:val="00550AA8"/>
    <w:rsid w:val="0057009A"/>
    <w:rsid w:val="00592368"/>
    <w:rsid w:val="005969FC"/>
    <w:rsid w:val="005C56DF"/>
    <w:rsid w:val="005D315A"/>
    <w:rsid w:val="005E4A32"/>
    <w:rsid w:val="00622DB1"/>
    <w:rsid w:val="0065598F"/>
    <w:rsid w:val="006A62B9"/>
    <w:rsid w:val="006E63CB"/>
    <w:rsid w:val="006E6E00"/>
    <w:rsid w:val="006F09BB"/>
    <w:rsid w:val="00710DE7"/>
    <w:rsid w:val="00776F3B"/>
    <w:rsid w:val="0078667F"/>
    <w:rsid w:val="0080484D"/>
    <w:rsid w:val="00820A2C"/>
    <w:rsid w:val="008228E4"/>
    <w:rsid w:val="008565E4"/>
    <w:rsid w:val="008632F5"/>
    <w:rsid w:val="00877852"/>
    <w:rsid w:val="008A1794"/>
    <w:rsid w:val="008F3311"/>
    <w:rsid w:val="00976C80"/>
    <w:rsid w:val="009A3AF0"/>
    <w:rsid w:val="009A73E3"/>
    <w:rsid w:val="009B099F"/>
    <w:rsid w:val="00A00892"/>
    <w:rsid w:val="00A010BE"/>
    <w:rsid w:val="00A2077B"/>
    <w:rsid w:val="00A45AA6"/>
    <w:rsid w:val="00A57669"/>
    <w:rsid w:val="00A70356"/>
    <w:rsid w:val="00A91708"/>
    <w:rsid w:val="00B03F72"/>
    <w:rsid w:val="00B119AB"/>
    <w:rsid w:val="00B55DFB"/>
    <w:rsid w:val="00B566D7"/>
    <w:rsid w:val="00B70DC1"/>
    <w:rsid w:val="00B8785E"/>
    <w:rsid w:val="00C17C71"/>
    <w:rsid w:val="00CD7F0D"/>
    <w:rsid w:val="00CE591F"/>
    <w:rsid w:val="00CF19D3"/>
    <w:rsid w:val="00D41494"/>
    <w:rsid w:val="00DA4EC8"/>
    <w:rsid w:val="00DB19E7"/>
    <w:rsid w:val="00DB5764"/>
    <w:rsid w:val="00E119CC"/>
    <w:rsid w:val="00E17C90"/>
    <w:rsid w:val="00E6398B"/>
    <w:rsid w:val="00E65624"/>
    <w:rsid w:val="00E85D52"/>
    <w:rsid w:val="00E86C3E"/>
    <w:rsid w:val="00EA3133"/>
    <w:rsid w:val="00EB1823"/>
    <w:rsid w:val="00EC1749"/>
    <w:rsid w:val="00EC25E6"/>
    <w:rsid w:val="00EF3FDD"/>
    <w:rsid w:val="00EF5945"/>
    <w:rsid w:val="00F04F8A"/>
    <w:rsid w:val="00F22579"/>
    <w:rsid w:val="00F551B5"/>
    <w:rsid w:val="00F7124A"/>
    <w:rsid w:val="00F904BC"/>
    <w:rsid w:val="00FC5378"/>
    <w:rsid w:val="00FD1E9D"/>
    <w:rsid w:val="00FE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18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5CF5"/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B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unhideWhenUsed/>
    <w:qFormat/>
    <w:rsid w:val="00FE3109"/>
    <w:pPr>
      <w:numPr>
        <w:numId w:val="2"/>
      </w:numPr>
      <w:ind w:left="227" w:firstLine="133"/>
    </w:pPr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E3109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B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41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1020</Words>
  <Characters>5816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Discussion</vt:lpstr>
    </vt:vector>
  </TitlesOfParts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Huang</dc:creator>
  <cp:keywords/>
  <dc:description/>
  <cp:lastModifiedBy>Thomas Huang</cp:lastModifiedBy>
  <cp:revision>8</cp:revision>
  <dcterms:created xsi:type="dcterms:W3CDTF">2017-01-11T09:19:00Z</dcterms:created>
  <dcterms:modified xsi:type="dcterms:W3CDTF">2017-01-16T13:31:00Z</dcterms:modified>
</cp:coreProperties>
</file>