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FE924" w14:textId="4BA5B3C3" w:rsidR="00870331" w:rsidRPr="006E51C9" w:rsidRDefault="00870331" w:rsidP="00870331">
      <w:pPr>
        <w:pStyle w:val="Heading1"/>
        <w:numPr>
          <w:ilvl w:val="0"/>
          <w:numId w:val="0"/>
        </w:numPr>
        <w:jc w:val="center"/>
        <w:rPr>
          <w:rFonts w:ascii="Times New Roman" w:hAnsi="Times New Roman" w:cs="Times New Roman"/>
        </w:rPr>
      </w:pPr>
      <w:r w:rsidRPr="006E51C9">
        <w:rPr>
          <w:rFonts w:ascii="Times New Roman" w:hAnsi="Times New Roman" w:cs="Times New Roman"/>
        </w:rPr>
        <w:t>Result</w:t>
      </w:r>
    </w:p>
    <w:p w14:paraId="001C9139" w14:textId="62FBE32A" w:rsidR="00870331" w:rsidRDefault="00870331" w:rsidP="00870331">
      <w:pPr>
        <w:rPr>
          <w:rFonts w:ascii="Times New Roman" w:hAnsi="Times New Roman" w:cs="Times New Roman"/>
          <w:b/>
          <w:sz w:val="28"/>
        </w:rPr>
      </w:pPr>
      <w:r w:rsidRPr="00870331">
        <w:rPr>
          <w:rFonts w:ascii="Times New Roman" w:hAnsi="Times New Roman" w:cs="Times New Roman"/>
          <w:b/>
          <w:sz w:val="32"/>
        </w:rPr>
        <w:t>INDEX</w:t>
      </w:r>
    </w:p>
    <w:p w14:paraId="7446A995" w14:textId="77777777" w:rsidR="00870331" w:rsidRDefault="00870331" w:rsidP="00870331">
      <w:pPr>
        <w:ind w:left="720"/>
        <w:rPr>
          <w:rFonts w:ascii="Times New Roman" w:hAnsi="Times New Roman" w:cs="Times New Roman"/>
        </w:rPr>
      </w:pPr>
    </w:p>
    <w:p w14:paraId="6AED60E4" w14:textId="169C7C4F" w:rsidR="00870331" w:rsidRPr="00976C6F" w:rsidRDefault="00870331" w:rsidP="00870331">
      <w:pPr>
        <w:rPr>
          <w:rFonts w:ascii="Times New Roman" w:hAnsi="Times New Roman" w:cs="Times New Roman"/>
          <w:b/>
          <w:sz w:val="22"/>
        </w:rPr>
      </w:pPr>
      <w:r w:rsidRPr="00976C6F">
        <w:rPr>
          <w:rFonts w:ascii="Times New Roman" w:hAnsi="Times New Roman" w:cs="Times New Roman"/>
          <w:b/>
          <w:sz w:val="22"/>
        </w:rPr>
        <w:t xml:space="preserve">Part </w:t>
      </w:r>
      <w:r w:rsidRPr="00976C6F">
        <w:rPr>
          <w:rFonts w:ascii="Times New Roman" w:hAnsi="Times New Roman" w:cs="Times New Roman"/>
          <w:b/>
          <w:sz w:val="22"/>
        </w:rPr>
        <w:fldChar w:fldCharType="begin"/>
      </w:r>
      <w:r w:rsidRPr="00976C6F">
        <w:rPr>
          <w:rFonts w:ascii="Times New Roman" w:hAnsi="Times New Roman" w:cs="Times New Roman"/>
          <w:b/>
          <w:sz w:val="22"/>
        </w:rPr>
        <w:instrText xml:space="preserve"> = 1 \* ROMAN </w:instrText>
      </w:r>
      <w:r w:rsidRPr="00976C6F">
        <w:rPr>
          <w:rFonts w:ascii="Times New Roman" w:hAnsi="Times New Roman" w:cs="Times New Roman"/>
          <w:b/>
          <w:sz w:val="22"/>
        </w:rPr>
        <w:fldChar w:fldCharType="separate"/>
      </w:r>
      <w:r w:rsidRPr="00976C6F">
        <w:rPr>
          <w:rFonts w:ascii="Times New Roman" w:hAnsi="Times New Roman" w:cs="Times New Roman"/>
          <w:b/>
          <w:noProof/>
          <w:sz w:val="22"/>
        </w:rPr>
        <w:t>I</w:t>
      </w:r>
      <w:r w:rsidRPr="00976C6F">
        <w:rPr>
          <w:rFonts w:ascii="Times New Roman" w:hAnsi="Times New Roman" w:cs="Times New Roman"/>
          <w:b/>
          <w:sz w:val="22"/>
        </w:rPr>
        <w:fldChar w:fldCharType="end"/>
      </w:r>
      <w:r w:rsidRPr="00976C6F">
        <w:rPr>
          <w:rFonts w:ascii="Times New Roman" w:hAnsi="Times New Roman" w:cs="Times New Roman"/>
          <w:b/>
          <w:sz w:val="22"/>
        </w:rPr>
        <w:t>:</w:t>
      </w:r>
      <w:r w:rsidR="0028785D" w:rsidRPr="00976C6F">
        <w:rPr>
          <w:rFonts w:ascii="Times New Roman" w:hAnsi="Times New Roman" w:cs="Times New Roman"/>
          <w:b/>
          <w:sz w:val="22"/>
        </w:rPr>
        <w:t xml:space="preserve"> SNP distribution features on miRNAs both conserved and non-conserved and their targets;</w:t>
      </w:r>
    </w:p>
    <w:p w14:paraId="754F05A2" w14:textId="7557C951" w:rsidR="006E6E00" w:rsidRPr="00036B58" w:rsidRDefault="00BE5AA5">
      <w:pPr>
        <w:rPr>
          <w:rFonts w:ascii="Times New Roman" w:hAnsi="Times New Roman" w:cs="Times New Roman"/>
          <w:b/>
          <w:sz w:val="22"/>
        </w:rPr>
      </w:pPr>
      <w:r w:rsidRPr="00036B58">
        <w:rPr>
          <w:rFonts w:ascii="Times New Roman" w:hAnsi="Times New Roman" w:cs="Times New Roman"/>
          <w:b/>
          <w:sz w:val="22"/>
        </w:rPr>
        <w:t xml:space="preserve">Part </w:t>
      </w:r>
      <w:r w:rsidRPr="00036B58">
        <w:rPr>
          <w:rFonts w:ascii="Times New Roman" w:hAnsi="Times New Roman" w:cs="Times New Roman"/>
          <w:b/>
          <w:sz w:val="22"/>
        </w:rPr>
        <w:fldChar w:fldCharType="begin"/>
      </w:r>
      <w:r w:rsidRPr="00036B58">
        <w:rPr>
          <w:rFonts w:ascii="Times New Roman" w:hAnsi="Times New Roman" w:cs="Times New Roman"/>
          <w:b/>
          <w:sz w:val="22"/>
        </w:rPr>
        <w:instrText xml:space="preserve"> = 2 \* ROMAN </w:instrText>
      </w:r>
      <w:r w:rsidRPr="00036B58">
        <w:rPr>
          <w:rFonts w:ascii="Times New Roman" w:hAnsi="Times New Roman" w:cs="Times New Roman"/>
          <w:b/>
          <w:sz w:val="22"/>
        </w:rPr>
        <w:fldChar w:fldCharType="separate"/>
      </w:r>
      <w:r w:rsidRPr="00036B58">
        <w:rPr>
          <w:rFonts w:ascii="Times New Roman" w:hAnsi="Times New Roman" w:cs="Times New Roman"/>
          <w:b/>
          <w:sz w:val="22"/>
        </w:rPr>
        <w:t>II</w:t>
      </w:r>
      <w:r w:rsidRPr="00036B58">
        <w:rPr>
          <w:rFonts w:ascii="Times New Roman" w:hAnsi="Times New Roman" w:cs="Times New Roman"/>
          <w:b/>
          <w:sz w:val="22"/>
        </w:rPr>
        <w:fldChar w:fldCharType="end"/>
      </w:r>
      <w:r w:rsidRPr="00036B58">
        <w:rPr>
          <w:rFonts w:ascii="Times New Roman" w:hAnsi="Times New Roman" w:cs="Times New Roman"/>
          <w:b/>
          <w:sz w:val="22"/>
        </w:rPr>
        <w:t>:</w:t>
      </w:r>
      <w:r w:rsidR="0028785D" w:rsidRPr="00036B58">
        <w:rPr>
          <w:rFonts w:ascii="Times New Roman" w:hAnsi="Times New Roman" w:cs="Times New Roman"/>
          <w:b/>
          <w:sz w:val="22"/>
        </w:rPr>
        <w:t xml:space="preserve"> No obvious negative correlation between miRNA level and its target mRNA level;</w:t>
      </w:r>
    </w:p>
    <w:p w14:paraId="5E8BD9BE" w14:textId="701C75EF" w:rsidR="00BE5AA5" w:rsidRPr="00036B58" w:rsidRDefault="00BE5AA5">
      <w:pPr>
        <w:rPr>
          <w:rFonts w:ascii="Times New Roman" w:hAnsi="Times New Roman" w:cs="Times New Roman"/>
          <w:sz w:val="21"/>
        </w:rPr>
      </w:pPr>
      <w:r w:rsidRPr="00036B58">
        <w:rPr>
          <w:rFonts w:ascii="Times New Roman" w:hAnsi="Times New Roman" w:cs="Times New Roman"/>
          <w:sz w:val="22"/>
          <w:szCs w:val="22"/>
        </w:rPr>
        <w:t xml:space="preserve">Part </w:t>
      </w:r>
      <w:r w:rsidRPr="00036B58">
        <w:rPr>
          <w:rFonts w:ascii="Times New Roman" w:hAnsi="Times New Roman" w:cs="Times New Roman"/>
          <w:sz w:val="21"/>
        </w:rPr>
        <w:fldChar w:fldCharType="begin"/>
      </w:r>
      <w:r w:rsidRPr="00036B58">
        <w:rPr>
          <w:rFonts w:ascii="Times New Roman" w:hAnsi="Times New Roman" w:cs="Times New Roman"/>
          <w:sz w:val="21"/>
        </w:rPr>
        <w:instrText xml:space="preserve"> = 3 \* ROMAN </w:instrText>
      </w:r>
      <w:r w:rsidRPr="00036B58">
        <w:rPr>
          <w:rFonts w:ascii="Times New Roman" w:hAnsi="Times New Roman" w:cs="Times New Roman"/>
          <w:sz w:val="21"/>
        </w:rPr>
        <w:fldChar w:fldCharType="separate"/>
      </w:r>
      <w:r w:rsidRPr="00036B58">
        <w:rPr>
          <w:rFonts w:ascii="Times New Roman" w:hAnsi="Times New Roman" w:cs="Times New Roman"/>
          <w:noProof/>
          <w:sz w:val="21"/>
        </w:rPr>
        <w:t>III</w:t>
      </w:r>
      <w:r w:rsidRPr="00036B58">
        <w:rPr>
          <w:rFonts w:ascii="Times New Roman" w:hAnsi="Times New Roman" w:cs="Times New Roman"/>
          <w:sz w:val="21"/>
        </w:rPr>
        <w:fldChar w:fldCharType="end"/>
      </w:r>
      <w:r w:rsidRPr="00036B58">
        <w:rPr>
          <w:rFonts w:ascii="Times New Roman" w:hAnsi="Times New Roman" w:cs="Times New Roman"/>
          <w:sz w:val="21"/>
        </w:rPr>
        <w:t>:</w:t>
      </w:r>
      <w:r w:rsidR="0046175D" w:rsidRPr="00036B58">
        <w:rPr>
          <w:rFonts w:ascii="Times New Roman" w:hAnsi="Times New Roman" w:cs="Times New Roman"/>
          <w:sz w:val="21"/>
        </w:rPr>
        <w:t xml:space="preserve">  </w:t>
      </w:r>
      <w:r w:rsidR="0028785D" w:rsidRPr="00036B58">
        <w:rPr>
          <w:rFonts w:ascii="Times" w:hAnsi="Times" w:cs="Times"/>
          <w:color w:val="000000"/>
          <w:kern w:val="0"/>
          <w:sz w:val="22"/>
        </w:rPr>
        <w:t>Combined Complementary Pattern Analysis found a family of miRNAs can recover their complementarity to some targets after double point mutations;</w:t>
      </w:r>
    </w:p>
    <w:p w14:paraId="65379320" w14:textId="456E32B0" w:rsidR="00040D48" w:rsidRPr="00036B58" w:rsidRDefault="00E615A0">
      <w:pPr>
        <w:rPr>
          <w:rFonts w:ascii="Times New Roman" w:hAnsi="Times New Roman" w:cs="Times New Roman"/>
          <w:sz w:val="22"/>
        </w:rPr>
      </w:pPr>
      <w:r w:rsidRPr="00036B58">
        <w:rPr>
          <w:rFonts w:ascii="Times New Roman" w:hAnsi="Times New Roman" w:cs="Times New Roman"/>
          <w:sz w:val="21"/>
        </w:rPr>
        <w:t xml:space="preserve">Part </w:t>
      </w:r>
      <w:r w:rsidRPr="00036B58">
        <w:rPr>
          <w:rFonts w:ascii="Times New Roman" w:hAnsi="Times New Roman" w:cs="Times New Roman"/>
          <w:sz w:val="21"/>
        </w:rPr>
        <w:fldChar w:fldCharType="begin"/>
      </w:r>
      <w:r w:rsidRPr="00036B58">
        <w:rPr>
          <w:rFonts w:ascii="Times New Roman" w:hAnsi="Times New Roman" w:cs="Times New Roman"/>
          <w:sz w:val="21"/>
        </w:rPr>
        <w:instrText xml:space="preserve"> = 4 \* ROMAN </w:instrText>
      </w:r>
      <w:r w:rsidRPr="00036B58">
        <w:rPr>
          <w:rFonts w:ascii="Times New Roman" w:hAnsi="Times New Roman" w:cs="Times New Roman"/>
          <w:sz w:val="21"/>
        </w:rPr>
        <w:fldChar w:fldCharType="separate"/>
      </w:r>
      <w:r w:rsidRPr="00036B58">
        <w:rPr>
          <w:rFonts w:ascii="Times New Roman" w:hAnsi="Times New Roman" w:cs="Times New Roman"/>
          <w:noProof/>
          <w:sz w:val="21"/>
        </w:rPr>
        <w:t>IV</w:t>
      </w:r>
      <w:r w:rsidRPr="00036B58">
        <w:rPr>
          <w:rFonts w:ascii="Times New Roman" w:hAnsi="Times New Roman" w:cs="Times New Roman"/>
          <w:sz w:val="21"/>
        </w:rPr>
        <w:fldChar w:fldCharType="end"/>
      </w:r>
      <w:r w:rsidRPr="00036B58">
        <w:rPr>
          <w:rFonts w:ascii="Times New Roman" w:hAnsi="Times New Roman" w:cs="Times New Roman"/>
          <w:sz w:val="21"/>
        </w:rPr>
        <w:t xml:space="preserve">: </w:t>
      </w:r>
      <w:r w:rsidR="0028785D" w:rsidRPr="00036B58">
        <w:rPr>
          <w:rFonts w:ascii="Times" w:hAnsi="Times" w:cs="Times"/>
          <w:color w:val="000000"/>
          <w:kern w:val="0"/>
          <w:sz w:val="22"/>
        </w:rPr>
        <w:t>Analysis of phenotypes of osa-miR156 and osa-miR172 along with their combined complementary patterns</w:t>
      </w:r>
    </w:p>
    <w:p w14:paraId="0FB9FB40" w14:textId="77777777" w:rsidR="0046175D" w:rsidRDefault="0046175D">
      <w:pPr>
        <w:rPr>
          <w:rFonts w:ascii="Times New Roman" w:hAnsi="Times New Roman" w:cs="Times New Roman"/>
        </w:rPr>
      </w:pPr>
    </w:p>
    <w:p w14:paraId="4ED01E5F" w14:textId="77777777" w:rsidR="00F57742" w:rsidRDefault="00F57742">
      <w:pPr>
        <w:rPr>
          <w:rFonts w:ascii="Times New Roman" w:hAnsi="Times New Roman" w:cs="Times New Roman"/>
        </w:rPr>
      </w:pPr>
    </w:p>
    <w:p w14:paraId="212A0E09" w14:textId="77777777" w:rsidR="00F57742" w:rsidRDefault="00F57742">
      <w:pPr>
        <w:rPr>
          <w:rFonts w:ascii="Times New Roman" w:hAnsi="Times New Roman" w:cs="Times New Roman"/>
        </w:rPr>
      </w:pPr>
    </w:p>
    <w:p w14:paraId="6CE8923A" w14:textId="3CBCC214" w:rsidR="0046175D" w:rsidRPr="0046175D" w:rsidRDefault="0028785D">
      <w:pPr>
        <w:rPr>
          <w:rFonts w:ascii="Times New Roman" w:hAnsi="Times New Roman" w:cs="Times New Roman"/>
          <w:b/>
        </w:rPr>
      </w:pPr>
      <w:r w:rsidRPr="0028785D">
        <w:rPr>
          <w:rFonts w:ascii="Times New Roman" w:hAnsi="Times New Roman" w:cs="Times New Roman"/>
          <w:b/>
        </w:rPr>
        <w:t xml:space="preserve">SNP distribution features on miRNAs both conserved and </w:t>
      </w:r>
      <w:r w:rsidR="00AE3759">
        <w:rPr>
          <w:rFonts w:ascii="Times New Roman" w:hAnsi="Times New Roman" w:cs="Times New Roman"/>
          <w:b/>
        </w:rPr>
        <w:t>non-conserved and their targets</w:t>
      </w:r>
    </w:p>
    <w:p w14:paraId="282E0BAC" w14:textId="77777777" w:rsidR="0046175D" w:rsidRDefault="0046175D">
      <w:pPr>
        <w:rPr>
          <w:rFonts w:ascii="Times New Roman" w:hAnsi="Times New Roman" w:cs="Times New Roman"/>
          <w:sz w:val="22"/>
        </w:rPr>
      </w:pPr>
    </w:p>
    <w:p w14:paraId="44608E93" w14:textId="186B122F" w:rsidR="00F0391B" w:rsidRDefault="0046175D" w:rsidP="00782D78">
      <w:pPr>
        <w:rPr>
          <w:rFonts w:ascii="Times New Roman" w:hAnsi="Times New Roman" w:cs="Times New Roman"/>
        </w:rPr>
      </w:pPr>
      <w:r>
        <w:rPr>
          <w:rFonts w:ascii="Times New Roman" w:hAnsi="Times New Roman" w:cs="Times New Roman" w:hint="eastAsia"/>
        </w:rPr>
        <w:t xml:space="preserve">Up till now, there are </w:t>
      </w:r>
      <w:r>
        <w:rPr>
          <w:rFonts w:ascii="Times New Roman" w:hAnsi="Times New Roman" w:cs="Times New Roman"/>
        </w:rPr>
        <w:t xml:space="preserve">592 pre-miRNAs with their 718 mature products deposited in </w:t>
      </w:r>
      <w:r w:rsidR="00175EAC" w:rsidRPr="00175EAC">
        <w:rPr>
          <w:rFonts w:ascii="Times New Roman" w:hAnsi="Times New Roman" w:cs="Times New Roman"/>
          <w:i/>
          <w:u w:val="single"/>
        </w:rPr>
        <w:t>miRBase.org</w:t>
      </w:r>
      <w:r w:rsidR="0015092C" w:rsidRPr="00770FA3">
        <w:rPr>
          <w:rFonts w:ascii="Times New Roman" w:hAnsi="Times New Roman" w:cs="Times New Roman"/>
        </w:rPr>
        <w:t xml:space="preserve"> </w:t>
      </w:r>
      <w:r w:rsidR="0015092C">
        <w:rPr>
          <w:rFonts w:ascii="Times New Roman" w:hAnsi="Times New Roman" w:cs="Times New Roman"/>
        </w:rPr>
        <w:t>(release 21, in June 2014),</w:t>
      </w:r>
      <w:r w:rsidR="00175EAC">
        <w:rPr>
          <w:rFonts w:ascii="Times New Roman" w:hAnsi="Times New Roman" w:cs="Times New Roman"/>
        </w:rPr>
        <w:t xml:space="preserve"> out of which 578 pre-miRNAs have been mapped to the rice genome</w:t>
      </w:r>
      <w:r w:rsidR="00770FA3">
        <w:rPr>
          <w:rFonts w:ascii="Times New Roman" w:hAnsi="Times New Roman" w:cs="Times New Roman"/>
        </w:rPr>
        <w:t xml:space="preserve"> (</w:t>
      </w:r>
      <w:r w:rsidR="00344FA4">
        <w:rPr>
          <w:rFonts w:ascii="Times New Roman" w:hAnsi="Times New Roman" w:cs="Times New Roman"/>
        </w:rPr>
        <w:t>MSU 7.0</w:t>
      </w:r>
      <w:r w:rsidR="00770FA3">
        <w:rPr>
          <w:rFonts w:ascii="Times New Roman" w:hAnsi="Times New Roman" w:cs="Times New Roman"/>
        </w:rPr>
        <w:t>)</w:t>
      </w:r>
      <w:r w:rsidR="009C6126">
        <w:rPr>
          <w:rFonts w:ascii="Times New Roman" w:hAnsi="Times New Roman" w:cs="Times New Roman"/>
        </w:rPr>
        <w:t xml:space="preserve">. After BLAST to the rice genome, </w:t>
      </w:r>
      <w:r w:rsidR="00CB15DA">
        <w:rPr>
          <w:rFonts w:ascii="Times New Roman" w:hAnsi="Times New Roman" w:cs="Times New Roman"/>
        </w:rPr>
        <w:t>we</w:t>
      </w:r>
      <w:r w:rsidR="005B1710">
        <w:rPr>
          <w:rFonts w:ascii="Times New Roman" w:hAnsi="Times New Roman" w:cs="Times New Roman"/>
        </w:rPr>
        <w:t xml:space="preserve"> finally</w:t>
      </w:r>
      <w:r w:rsidR="00CB15DA">
        <w:rPr>
          <w:rFonts w:ascii="Times New Roman" w:hAnsi="Times New Roman" w:cs="Times New Roman"/>
        </w:rPr>
        <w:t xml:space="preserve"> </w:t>
      </w:r>
      <w:r w:rsidR="005B1710">
        <w:rPr>
          <w:rFonts w:ascii="Times New Roman" w:hAnsi="Times New Roman" w:cs="Times New Roman"/>
        </w:rPr>
        <w:t xml:space="preserve">obtained 585 pre-miRNAs and 703 MaMiRNAs with genomic coordination information. </w:t>
      </w:r>
      <w:r w:rsidR="00582F42">
        <w:rPr>
          <w:rFonts w:ascii="Times New Roman" w:hAnsi="Times New Roman" w:cs="Times New Roman"/>
        </w:rPr>
        <w:t xml:space="preserve">And as the conservation of miRNAs would bring </w:t>
      </w:r>
      <w:r w:rsidR="00A472BC">
        <w:rPr>
          <w:rFonts w:ascii="Times New Roman" w:hAnsi="Times New Roman" w:cs="Times New Roman"/>
        </w:rPr>
        <w:t>differences in later miRNA studies, in that selection pressure impose</w:t>
      </w:r>
      <w:r w:rsidR="006E6F7E">
        <w:rPr>
          <w:rFonts w:ascii="Times New Roman" w:hAnsi="Times New Roman" w:cs="Times New Roman"/>
        </w:rPr>
        <w:t>d</w:t>
      </w:r>
      <w:bookmarkStart w:id="0" w:name="_GoBack"/>
      <w:bookmarkEnd w:id="0"/>
      <w:r w:rsidR="00A472BC">
        <w:rPr>
          <w:rFonts w:ascii="Times New Roman" w:hAnsi="Times New Roman" w:cs="Times New Roman"/>
        </w:rPr>
        <w:t xml:space="preserve"> on deeply conserved miRNAs are comparatively higher than that on less conserved miRNAs and </w:t>
      </w:r>
      <w:r w:rsidR="00C85A9E">
        <w:rPr>
          <w:rFonts w:ascii="Times New Roman" w:hAnsi="Times New Roman" w:cs="Times New Roman"/>
        </w:rPr>
        <w:t xml:space="preserve">almost all </w:t>
      </w:r>
      <w:r w:rsidR="00A472BC">
        <w:rPr>
          <w:rFonts w:ascii="Times New Roman" w:hAnsi="Times New Roman" w:cs="Times New Roman"/>
        </w:rPr>
        <w:t xml:space="preserve">deeply conserved miRNAs </w:t>
      </w:r>
      <w:r w:rsidR="00C85A9E">
        <w:rPr>
          <w:rFonts w:ascii="Times New Roman" w:hAnsi="Times New Roman" w:cs="Times New Roman"/>
        </w:rPr>
        <w:t xml:space="preserve">have identifiable targets and are also conserved among plant species, we did the classification of miRNAs by their conservation aided </w:t>
      </w:r>
      <w:r w:rsidR="00F05895">
        <w:rPr>
          <w:rFonts w:ascii="Times New Roman" w:hAnsi="Times New Roman" w:cs="Times New Roman"/>
        </w:rPr>
        <w:t xml:space="preserve">miRNA family classification provided </w:t>
      </w:r>
      <w:r w:rsidR="00C85A9E">
        <w:rPr>
          <w:rFonts w:ascii="Times New Roman" w:hAnsi="Times New Roman" w:cs="Times New Roman"/>
        </w:rPr>
        <w:t xml:space="preserve">by </w:t>
      </w:r>
      <w:r w:rsidR="00C85A9E" w:rsidRPr="00F05895">
        <w:rPr>
          <w:rFonts w:ascii="Times New Roman" w:hAnsi="Times New Roman" w:cs="Times New Roman"/>
          <w:i/>
          <w:u w:val="single"/>
        </w:rPr>
        <w:t>miRBase.org</w:t>
      </w:r>
      <w:r w:rsidR="00F0391B">
        <w:rPr>
          <w:rFonts w:ascii="Times New Roman" w:hAnsi="Times New Roman" w:cs="Times New Roman"/>
        </w:rPr>
        <w:t xml:space="preserve"> and finally 220 MaMiRNAs and 191 pre-miRNAs are classified as conserved miRNAs. Moreover, it’s unimaginable to study miRNA functions without</w:t>
      </w:r>
      <w:r w:rsidR="00211B0A">
        <w:rPr>
          <w:rFonts w:ascii="Times New Roman" w:hAnsi="Times New Roman" w:cs="Times New Roman"/>
        </w:rPr>
        <w:t xml:space="preserve"> knowing its targets, so we collected targets of conserved miRNAs from experimental data of previous studies and with the help of bioinformatics methods, </w:t>
      </w:r>
      <w:r w:rsidR="009951A3">
        <w:rPr>
          <w:rFonts w:ascii="Times New Roman" w:hAnsi="Times New Roman" w:cs="Times New Roman"/>
        </w:rPr>
        <w:t>and we got 823 target genes which can form 2,113 interaction pairs with miRNAs.</w:t>
      </w:r>
    </w:p>
    <w:p w14:paraId="75474A28" w14:textId="5377E400" w:rsidR="00967C39" w:rsidRDefault="00F0391B" w:rsidP="00782D78">
      <w:pPr>
        <w:rPr>
          <w:rFonts w:ascii="Times New Roman" w:hAnsi="Times New Roman" w:cs="Times New Roman"/>
        </w:rPr>
      </w:pPr>
      <w:r>
        <w:rPr>
          <w:rFonts w:ascii="Times New Roman" w:hAnsi="Times New Roman" w:cs="Times New Roman"/>
        </w:rPr>
        <w:t xml:space="preserve">After searching against the </w:t>
      </w:r>
      <w:r w:rsidR="009951A3">
        <w:rPr>
          <w:rFonts w:ascii="Times New Roman" w:hAnsi="Times New Roman" w:cs="Times New Roman"/>
        </w:rPr>
        <w:t xml:space="preserve">SNP data derived from the 3,000 rice genomes project which now is deposited in </w:t>
      </w:r>
      <w:r w:rsidR="009951A3" w:rsidRPr="009951A3">
        <w:rPr>
          <w:rFonts w:ascii="Times New Roman" w:hAnsi="Times New Roman" w:cs="Times New Roman"/>
          <w:i/>
          <w:u w:val="single"/>
        </w:rPr>
        <w:t>http://snp-seek.irri.org</w:t>
      </w:r>
      <w:r w:rsidR="009951A3">
        <w:rPr>
          <w:rFonts w:ascii="Times New Roman" w:hAnsi="Times New Roman" w:cs="Times New Roman"/>
        </w:rPr>
        <w:t xml:space="preserve">, 7,193 SNPs were found in 578 pre-miRNAs, within which 1,270 SNPs fell unto MaMiRNAs, and 1,169 SNPs were found within the miRNA binding sites of target genes. </w:t>
      </w:r>
      <w:r w:rsidR="00967C39">
        <w:rPr>
          <w:rFonts w:ascii="Times New Roman" w:hAnsi="Times New Roman" w:cs="Times New Roman"/>
        </w:rPr>
        <w:t xml:space="preserve">Further analysis shows </w:t>
      </w:r>
      <w:r w:rsidR="00B268B6">
        <w:rPr>
          <w:rFonts w:ascii="Times New Roman" w:hAnsi="Times New Roman" w:cs="Times New Roman"/>
        </w:rPr>
        <w:t xml:space="preserve">majority of </w:t>
      </w:r>
      <w:r w:rsidR="00C42806">
        <w:rPr>
          <w:rFonts w:ascii="Times New Roman" w:hAnsi="Times New Roman" w:cs="Times New Roman"/>
        </w:rPr>
        <w:t xml:space="preserve">pre-miRNAs, both conserved and non-conserved, </w:t>
      </w:r>
      <w:r w:rsidR="00B268B6">
        <w:rPr>
          <w:rFonts w:ascii="Times New Roman" w:hAnsi="Times New Roman" w:cs="Times New Roman"/>
        </w:rPr>
        <w:t>fall in</w:t>
      </w:r>
      <w:r w:rsidR="00C42806">
        <w:rPr>
          <w:rFonts w:ascii="Times New Roman" w:hAnsi="Times New Roman" w:cs="Times New Roman"/>
        </w:rPr>
        <w:t xml:space="preserve"> the SNP density range 0.</w:t>
      </w:r>
      <w:r w:rsidR="00B268B6">
        <w:rPr>
          <w:rFonts w:ascii="Times New Roman" w:hAnsi="Times New Roman" w:cs="Times New Roman"/>
        </w:rPr>
        <w:t>01-0.06, and they both have peaks at 0.03-0.04 range. Moreover, conserved miRNAs gather at comparatively lower SNP density range</w:t>
      </w:r>
      <w:r w:rsidR="001B54BE">
        <w:rPr>
          <w:rFonts w:ascii="Times New Roman" w:hAnsi="Times New Roman" w:cs="Times New Roman"/>
        </w:rPr>
        <w:t xml:space="preserve"> than non-conserved miRNAs, e.g. more than 70% conserved miRNAs gather at 0-0.06 range while only </w:t>
      </w:r>
      <w:r w:rsidR="008519B6">
        <w:rPr>
          <w:rFonts w:ascii="Times New Roman" w:hAnsi="Times New Roman" w:cs="Times New Roman"/>
        </w:rPr>
        <w:t>less than 40% non-conserved miRNAs gather at this low SNP density region, and this implies that conserved miRNAs subject to higher selection pressure.</w:t>
      </w:r>
    </w:p>
    <w:p w14:paraId="4AF4C8C2" w14:textId="77777777" w:rsidR="00967C39" w:rsidRDefault="00967C39" w:rsidP="009951A3">
      <w:pPr>
        <w:ind w:firstLine="454"/>
        <w:rPr>
          <w:rFonts w:ascii="Times New Roman" w:hAnsi="Times New Roman" w:cs="Times New Roman"/>
        </w:rPr>
      </w:pPr>
    </w:p>
    <w:p w14:paraId="2BC6876E" w14:textId="65DAFE56" w:rsidR="00967C39" w:rsidRDefault="00967C39" w:rsidP="009951A3">
      <w:pPr>
        <w:ind w:firstLine="454"/>
        <w:rPr>
          <w:rFonts w:ascii="Times New Roman" w:hAnsi="Times New Roman" w:cs="Times New Roman"/>
        </w:rPr>
      </w:pPr>
      <w:r>
        <w:rPr>
          <w:rFonts w:ascii="Times New Roman" w:hAnsi="Times New Roman" w:cs="Times New Roman"/>
          <w:bCs/>
          <w:noProof/>
        </w:rPr>
        <w:lastRenderedPageBreak/>
        <w:drawing>
          <wp:inline distT="0" distB="0" distL="0" distR="0" wp14:anchorId="1D5C1298" wp14:editId="70421387">
            <wp:extent cx="5266690" cy="3955415"/>
            <wp:effectExtent l="0" t="0" r="0" b="6985"/>
            <wp:docPr id="9" name="Picture 9" descr="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P_Density_pre-miRNA.jpg"/>
                    <pic:cNvPicPr>
                      <a:picLocks noChangeAspect="1" noChangeArrowheads="1"/>
                    </pic:cNvPicPr>
                  </pic:nvPicPr>
                  <pic:blipFill>
                    <a:blip r:embed="rId5"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0BF9E0B0" w14:textId="5C813FA7" w:rsidR="00933092" w:rsidRDefault="00933092" w:rsidP="00933092">
      <w:pPr>
        <w:ind w:firstLine="454"/>
        <w:jc w:val="center"/>
        <w:rPr>
          <w:rFonts w:ascii="Times New Roman" w:hAnsi="Times New Roman" w:cs="Times New Roman"/>
          <w:b/>
          <w:sz w:val="20"/>
        </w:rPr>
      </w:pPr>
      <w:r w:rsidRPr="00933092">
        <w:rPr>
          <w:rFonts w:ascii="Times New Roman" w:hAnsi="Times New Roman" w:cs="Times New Roman" w:hint="eastAsia"/>
          <w:b/>
          <w:sz w:val="20"/>
        </w:rPr>
        <w:t xml:space="preserve">Figure 1. </w:t>
      </w:r>
      <w:r w:rsidRPr="00933092">
        <w:rPr>
          <w:rFonts w:ascii="Times New Roman" w:hAnsi="Times New Roman" w:cs="Times New Roman"/>
          <w:b/>
          <w:sz w:val="20"/>
        </w:rPr>
        <w:t>SNP density distribution in pre-miRNAs</w:t>
      </w:r>
    </w:p>
    <w:p w14:paraId="3386480C" w14:textId="1A8BC189" w:rsidR="00C23529" w:rsidRPr="00C23529" w:rsidRDefault="00C23529" w:rsidP="00933092">
      <w:pPr>
        <w:ind w:firstLine="454"/>
        <w:jc w:val="center"/>
        <w:rPr>
          <w:rFonts w:ascii="Times New Roman" w:hAnsi="Times New Roman" w:cs="Times New Roman"/>
        </w:rPr>
      </w:pPr>
      <w:r>
        <w:rPr>
          <w:rFonts w:ascii="Times New Roman" w:hAnsi="Times New Roman" w:cs="Times New Roman"/>
          <w:sz w:val="20"/>
        </w:rPr>
        <w:t>miRNA percentage is the percentage of pre-miRNAs that fall in the given density range out of all pre-miRNAs.</w:t>
      </w:r>
    </w:p>
    <w:p w14:paraId="6573D470" w14:textId="435A9BCB" w:rsidR="00933092" w:rsidRDefault="00933092" w:rsidP="005E0997">
      <w:pPr>
        <w:ind w:firstLine="454"/>
        <w:jc w:val="left"/>
        <w:rPr>
          <w:rFonts w:ascii="Times New Roman" w:hAnsi="Times New Roman" w:cs="Times New Roman"/>
        </w:rPr>
      </w:pPr>
    </w:p>
    <w:p w14:paraId="061792DE" w14:textId="1EC4CD81" w:rsidR="005E0997" w:rsidRDefault="005E0997" w:rsidP="00782D78">
      <w:pPr>
        <w:jc w:val="left"/>
        <w:rPr>
          <w:rFonts w:ascii="Times New Roman" w:hAnsi="Times New Roman" w:cs="Times New Roman"/>
        </w:rPr>
      </w:pPr>
      <w:r>
        <w:rPr>
          <w:rFonts w:ascii="Times New Roman" w:hAnsi="Times New Roman" w:cs="Times New Roman"/>
        </w:rPr>
        <w:t xml:space="preserve">Randomly choosing intergenic regions as control to compare with pre-miRNAs concerning SNP density, we have found </w:t>
      </w:r>
      <w:r w:rsidR="006A2A0E">
        <w:rPr>
          <w:rFonts w:ascii="Times New Roman" w:hAnsi="Times New Roman" w:cs="Times New Roman"/>
        </w:rPr>
        <w:t xml:space="preserve">there are many peaks in the </w:t>
      </w:r>
      <w:r w:rsidR="009B0D12">
        <w:rPr>
          <w:rFonts w:ascii="Times New Roman" w:hAnsi="Times New Roman" w:cs="Times New Roman"/>
        </w:rPr>
        <w:t xml:space="preserve">figure </w:t>
      </w:r>
      <w:r w:rsidR="00CF1DFE">
        <w:rPr>
          <w:rFonts w:ascii="Times New Roman" w:hAnsi="Times New Roman" w:cs="Times New Roman"/>
        </w:rPr>
        <w:t>of intergenic region and this phenomenon signifies the diversified selection pressure</w:t>
      </w:r>
      <w:r w:rsidR="00953FF0">
        <w:rPr>
          <w:rFonts w:ascii="Times New Roman" w:hAnsi="Times New Roman" w:cs="Times New Roman"/>
        </w:rPr>
        <w:t>s</w:t>
      </w:r>
      <w:r w:rsidR="00CF1DFE">
        <w:rPr>
          <w:rFonts w:ascii="Times New Roman" w:hAnsi="Times New Roman" w:cs="Times New Roman"/>
        </w:rPr>
        <w:t xml:space="preserve"> imposed on different parts of intergenic regions</w:t>
      </w:r>
      <w:r w:rsidR="00953FF0">
        <w:rPr>
          <w:rFonts w:ascii="Times New Roman" w:hAnsi="Times New Roman" w:cs="Times New Roman"/>
        </w:rPr>
        <w:t xml:space="preserve"> and pre-miRNAs tend to gather at lower SNP density ranges than intergenic fragments which may suggest pre-miRNAs subject to higher selection pressure owing to their regulation function.</w:t>
      </w:r>
    </w:p>
    <w:p w14:paraId="27A9C6AC" w14:textId="22A769D3" w:rsidR="00933092" w:rsidRDefault="005E0997"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0B9386A4" wp14:editId="35A103E4">
            <wp:extent cx="5266690" cy="3955415"/>
            <wp:effectExtent l="0" t="0" r="0" b="6985"/>
            <wp:docPr id="10" name="Picture 10" descr="SNP_density_allpremi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P_density_allpremiRNA.png"/>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7D1F1226" w14:textId="5D454566" w:rsidR="005E0997" w:rsidRDefault="005E0997"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45842FB3" wp14:editId="7B26B11A">
            <wp:extent cx="5266690" cy="3955415"/>
            <wp:effectExtent l="0" t="0" r="0" b="6985"/>
            <wp:docPr id="12" name="Picture 12" descr="SNP_density_interge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P_density_intergenic.png"/>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23C08BA4" w14:textId="196785D7" w:rsidR="00C23529" w:rsidRPr="00C23529" w:rsidRDefault="00C23529" w:rsidP="00C23529">
      <w:pPr>
        <w:ind w:firstLine="454"/>
        <w:jc w:val="center"/>
        <w:rPr>
          <w:rFonts w:ascii="Times New Roman" w:hAnsi="Times New Roman" w:cs="Times New Roman"/>
          <w:b/>
          <w:sz w:val="20"/>
        </w:rPr>
      </w:pPr>
      <w:r w:rsidRPr="00C23529">
        <w:rPr>
          <w:rFonts w:ascii="Times New Roman" w:hAnsi="Times New Roman" w:cs="Times New Roman"/>
          <w:b/>
          <w:sz w:val="20"/>
        </w:rPr>
        <w:t>Figure 2. SNP density distribution in pre-miRNAs(a), including both conserved and non-conserved miRNAs, and in intergenic regions(b).</w:t>
      </w:r>
    </w:p>
    <w:p w14:paraId="2CB9CDA0" w14:textId="77777777" w:rsidR="00C23529" w:rsidRDefault="00C23529" w:rsidP="00933092">
      <w:pPr>
        <w:ind w:firstLine="454"/>
        <w:jc w:val="left"/>
        <w:rPr>
          <w:rFonts w:ascii="Times New Roman" w:hAnsi="Times New Roman" w:cs="Times New Roman"/>
        </w:rPr>
      </w:pPr>
    </w:p>
    <w:p w14:paraId="7E8C6ECC" w14:textId="38C112F5" w:rsidR="00C23529" w:rsidRDefault="00B95D48" w:rsidP="00782D78">
      <w:pPr>
        <w:jc w:val="left"/>
        <w:rPr>
          <w:rFonts w:ascii="Times New Roman" w:hAnsi="Times New Roman" w:cs="Times New Roman"/>
        </w:rPr>
      </w:pPr>
      <w:r>
        <w:rPr>
          <w:rFonts w:ascii="Times New Roman" w:hAnsi="Times New Roman" w:cs="Times New Roman"/>
        </w:rPr>
        <w:t xml:space="preserve">Mapping the 1,270 SNPs unto sites from 5’ end to 3’ end on mature miRNAs, the analysis of SNP distribution on MaMiRNAs </w:t>
      </w:r>
      <w:r w:rsidR="00A17A5F">
        <w:rPr>
          <w:rFonts w:ascii="Times New Roman" w:hAnsi="Times New Roman" w:cs="Times New Roman"/>
        </w:rPr>
        <w:t xml:space="preserve">with conserved and non-conserved MaMiRNA displayed separately for comparison, shows </w:t>
      </w:r>
      <w:r w:rsidR="00BC64E7">
        <w:rPr>
          <w:rFonts w:ascii="Times New Roman" w:hAnsi="Times New Roman" w:cs="Times New Roman"/>
        </w:rPr>
        <w:t xml:space="preserve">SNP density in conserved </w:t>
      </w:r>
      <w:r w:rsidR="00143788">
        <w:rPr>
          <w:rFonts w:ascii="Times New Roman" w:hAnsi="Times New Roman" w:cs="Times New Roman"/>
        </w:rPr>
        <w:t xml:space="preserve">miRNAs is </w:t>
      </w:r>
      <w:r w:rsidR="00F355FE">
        <w:rPr>
          <w:rFonts w:ascii="Times New Roman" w:hAnsi="Times New Roman" w:cs="Times New Roman"/>
        </w:rPr>
        <w:t>significantly</w:t>
      </w:r>
      <w:r w:rsidR="00143788">
        <w:rPr>
          <w:rFonts w:ascii="Times New Roman" w:hAnsi="Times New Roman" w:cs="Times New Roman"/>
        </w:rPr>
        <w:t xml:space="preserve"> lower than that of non-conserved miRNAs, implying </w:t>
      </w:r>
      <w:r w:rsidR="005F7A6B">
        <w:rPr>
          <w:rFonts w:ascii="Times New Roman" w:hAnsi="Times New Roman" w:cs="Times New Roman"/>
        </w:rPr>
        <w:t xml:space="preserve">that selective constraints on at least some non-conserved miRNAs are more relaxed. Mature miRNAs have their lowest SNP frequencies at sites 1, 11 and 18, while for conserved MaMiRNAs the lowest sites are 1, 9 and 12, which </w:t>
      </w:r>
      <w:r w:rsidR="005F7A6B">
        <w:rPr>
          <w:rFonts w:ascii="Times New Roman" w:hAnsi="Times New Roman" w:cs="Times New Roman" w:hint="eastAsia"/>
        </w:rPr>
        <w:t>is</w:t>
      </w:r>
      <w:r w:rsidR="005F7A6B">
        <w:rPr>
          <w:rFonts w:ascii="Times New Roman" w:hAnsi="Times New Roman" w:cs="Times New Roman"/>
        </w:rPr>
        <w:t xml:space="preserve"> not consistent with empirical parameters that cleavage site 10 and 11 must be complementary to target genes and are supposed be under higher sele</w:t>
      </w:r>
      <w:r w:rsidR="00F355FE">
        <w:rPr>
          <w:rFonts w:ascii="Times New Roman" w:hAnsi="Times New Roman" w:cs="Times New Roman"/>
        </w:rPr>
        <w:t>ction pressure than other sites and the lowest SNP accumulation at site 1 may partly be explained by recognition and loading to AGO.</w:t>
      </w:r>
      <w:r w:rsidR="005F7A6B">
        <w:rPr>
          <w:rFonts w:ascii="Times New Roman" w:hAnsi="Times New Roman" w:cs="Times New Roman"/>
        </w:rPr>
        <w:t xml:space="preserve"> </w:t>
      </w:r>
      <w:r w:rsidR="00F355FE">
        <w:rPr>
          <w:rFonts w:ascii="Times New Roman" w:hAnsi="Times New Roman" w:cs="Times New Roman"/>
        </w:rPr>
        <w:t>By analyzing the SNP distribution on miRNA binding site of conserved miRNAs, we found site 1, 7 and 19 tend to accumulate the fewest SNPs and again is not consistent with the empirical claims about cleavage site 10 and 11.</w:t>
      </w:r>
    </w:p>
    <w:p w14:paraId="406D1284" w14:textId="77777777" w:rsidR="00B95D48" w:rsidRDefault="00B95D48" w:rsidP="00933092">
      <w:pPr>
        <w:ind w:firstLine="454"/>
        <w:jc w:val="left"/>
        <w:rPr>
          <w:rFonts w:ascii="Times New Roman" w:hAnsi="Times New Roman" w:cs="Times New Roman"/>
        </w:rPr>
      </w:pPr>
    </w:p>
    <w:p w14:paraId="336C2BB8" w14:textId="57D5FC8C" w:rsidR="00B95D48" w:rsidRDefault="00B95D48"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4746645F" wp14:editId="72855E5C">
            <wp:extent cx="5266690" cy="3955415"/>
            <wp:effectExtent l="0" t="0" r="0" b="6985"/>
            <wp:docPr id="6" name="Picture 6" descr="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MiRNA_SNP_distribution.jpg"/>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08C12D19" w14:textId="77777777" w:rsidR="005F7A6B" w:rsidRDefault="005F7A6B" w:rsidP="00933092">
      <w:pPr>
        <w:ind w:firstLine="454"/>
        <w:jc w:val="left"/>
        <w:rPr>
          <w:rFonts w:ascii="Times New Roman" w:hAnsi="Times New Roman" w:cs="Times New Roman"/>
        </w:rPr>
      </w:pPr>
    </w:p>
    <w:p w14:paraId="6C8373A1" w14:textId="1FF2335C" w:rsidR="00C23529" w:rsidRDefault="005F7A6B" w:rsidP="00933092">
      <w:pPr>
        <w:ind w:firstLine="454"/>
        <w:jc w:val="left"/>
        <w:rPr>
          <w:rFonts w:ascii="Times New Roman" w:hAnsi="Times New Roman" w:cs="Times New Roman"/>
        </w:rPr>
      </w:pPr>
      <w:r>
        <w:rPr>
          <w:rFonts w:ascii="Times New Roman" w:hAnsi="Times New Roman" w:cs="Times New Roman"/>
          <w:bCs/>
          <w:noProof/>
        </w:rPr>
        <w:drawing>
          <wp:inline distT="0" distB="0" distL="0" distR="0" wp14:anchorId="29A90DCA" wp14:editId="5582CF28">
            <wp:extent cx="5266690" cy="3955415"/>
            <wp:effectExtent l="0" t="0" r="0" b="6985"/>
            <wp:docPr id="7" name="Picture 7" descr="MiRNA_binding_site_conser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RNA_binding_site_conserved.png"/>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266690" cy="3955415"/>
                    </a:xfrm>
                    <a:prstGeom prst="rect">
                      <a:avLst/>
                    </a:prstGeom>
                    <a:noFill/>
                    <a:ln>
                      <a:noFill/>
                    </a:ln>
                  </pic:spPr>
                </pic:pic>
              </a:graphicData>
            </a:graphic>
          </wp:inline>
        </w:drawing>
      </w:r>
    </w:p>
    <w:p w14:paraId="16520408" w14:textId="71898E35" w:rsidR="005F7A6B" w:rsidRDefault="005F7A6B" w:rsidP="00933092">
      <w:pPr>
        <w:ind w:firstLine="454"/>
        <w:jc w:val="left"/>
        <w:rPr>
          <w:rFonts w:ascii="Times New Roman" w:hAnsi="Times New Roman" w:cs="Times New Roman"/>
        </w:rPr>
      </w:pPr>
      <w:r w:rsidRPr="00976C6F">
        <w:rPr>
          <w:rFonts w:ascii="Times New Roman" w:hAnsi="Times New Roman" w:cs="Times New Roman"/>
          <w:b/>
          <w:sz w:val="20"/>
        </w:rPr>
        <w:t>Figure 3.</w:t>
      </w:r>
      <w:r w:rsidR="00976C6F" w:rsidRPr="00976C6F">
        <w:rPr>
          <w:rFonts w:ascii="Times New Roman" w:hAnsi="Times New Roman" w:cs="Times New Roman"/>
          <w:b/>
          <w:sz w:val="20"/>
        </w:rPr>
        <w:t xml:space="preserve"> SNP density for each site in rice mature miRNAs and miRNA binding sites of conserved miRNAs.</w:t>
      </w:r>
      <w:r w:rsidR="00976C6F">
        <w:rPr>
          <w:rFonts w:ascii="Times New Roman" w:hAnsi="Times New Roman" w:cs="Times New Roman"/>
        </w:rPr>
        <w:t xml:space="preserve"> The order of sites in mature miRNAs is from 5’end to 3’ end, and in binding site, the order is the same and is from 5’ end to 3’end on mature miRNAs.</w:t>
      </w:r>
    </w:p>
    <w:p w14:paraId="0D0C513F" w14:textId="77777777" w:rsidR="00AC279A" w:rsidRDefault="00AC279A" w:rsidP="00933092">
      <w:pPr>
        <w:ind w:firstLine="454"/>
        <w:jc w:val="left"/>
        <w:rPr>
          <w:rFonts w:ascii="Times New Roman" w:hAnsi="Times New Roman" w:cs="Times New Roman"/>
        </w:rPr>
      </w:pPr>
    </w:p>
    <w:p w14:paraId="2C95A79E" w14:textId="77777777" w:rsidR="00AC279A" w:rsidRDefault="00AC279A" w:rsidP="00933092">
      <w:pPr>
        <w:ind w:firstLine="454"/>
        <w:jc w:val="left"/>
        <w:rPr>
          <w:rFonts w:ascii="Times New Roman" w:hAnsi="Times New Roman" w:cs="Times New Roman"/>
        </w:rPr>
      </w:pPr>
    </w:p>
    <w:p w14:paraId="044C280D" w14:textId="5ED633F5" w:rsidR="00AC279A" w:rsidRPr="00AC279A" w:rsidRDefault="00AC279A" w:rsidP="00AC279A">
      <w:pPr>
        <w:jc w:val="left"/>
        <w:rPr>
          <w:rFonts w:ascii="Times New Roman" w:hAnsi="Times New Roman" w:cs="Times New Roman"/>
          <w:b/>
        </w:rPr>
      </w:pPr>
      <w:r w:rsidRPr="00AC279A">
        <w:rPr>
          <w:rFonts w:ascii="Times New Roman" w:hAnsi="Times New Roman" w:cs="Times New Roman"/>
          <w:b/>
        </w:rPr>
        <w:t>No obvious negative correlation between miRNA level and its target mRNA level</w:t>
      </w:r>
    </w:p>
    <w:p w14:paraId="75EB9FD2" w14:textId="77777777" w:rsidR="00AE3759" w:rsidRDefault="00AE3759" w:rsidP="00AC279A">
      <w:pPr>
        <w:jc w:val="left"/>
        <w:rPr>
          <w:rFonts w:ascii="Times" w:hAnsi="Times" w:cs="Times"/>
          <w:color w:val="000000"/>
          <w:kern w:val="0"/>
        </w:rPr>
      </w:pPr>
    </w:p>
    <w:p w14:paraId="563856A2" w14:textId="08CA360A" w:rsidR="00F57742" w:rsidRDefault="00AE3759" w:rsidP="00F57742">
      <w:pPr>
        <w:rPr>
          <w:rFonts w:ascii="Times New Roman" w:hAnsi="Times New Roman" w:cs="Times New Roman"/>
        </w:rPr>
      </w:pPr>
      <w:r>
        <w:rPr>
          <w:rFonts w:ascii="Times" w:hAnsi="Times" w:cs="Times"/>
          <w:color w:val="000000"/>
          <w:kern w:val="0"/>
        </w:rPr>
        <w:t>MiRNAs play the regulatory role of genes in plants mainly through transcript cleavage, though cases of translational repression have been reported. So the identification of the genes they regulate appears to be significantly important</w:t>
      </w:r>
      <w:r w:rsidR="004F64C6">
        <w:rPr>
          <w:rFonts w:ascii="Times" w:hAnsi="Times" w:cs="Times"/>
          <w:color w:val="000000"/>
          <w:kern w:val="0"/>
        </w:rPr>
        <w:t>. Generally, plant miRNAs recognize their targets through high complementarity. Based on this, bioinformatic</w:t>
      </w:r>
      <w:r w:rsidR="00F57742">
        <w:rPr>
          <w:rFonts w:ascii="Times" w:hAnsi="Times" w:cs="Times"/>
          <w:color w:val="000000"/>
          <w:kern w:val="0"/>
        </w:rPr>
        <w:t>s</w:t>
      </w:r>
      <w:r w:rsidR="004F64C6">
        <w:rPr>
          <w:rFonts w:ascii="Times" w:hAnsi="Times" w:cs="Times"/>
          <w:color w:val="000000"/>
          <w:kern w:val="0"/>
        </w:rPr>
        <w:t xml:space="preserve"> tools are easily and effectively to predict genes targeted by miRNAs. But such results cannot be regarded as bona fide targets, and further experimental validation methods are required, among which degradome sequencing is the choice of researchers to do global scale target authenticity validation.</w:t>
      </w:r>
      <w:r w:rsidR="00F57742">
        <w:rPr>
          <w:rFonts w:ascii="Times" w:hAnsi="Times" w:cs="Times"/>
          <w:color w:val="000000"/>
          <w:kern w:val="0"/>
        </w:rPr>
        <w:t xml:space="preserve"> On the other hand, idea that </w:t>
      </w:r>
      <w:r w:rsidR="00F57742">
        <w:rPr>
          <w:rFonts w:ascii="Times New Roman" w:hAnsi="Times New Roman" w:cs="Times New Roman"/>
        </w:rPr>
        <w:t>expression of miRNAs and co</w:t>
      </w:r>
      <w:r w:rsidR="00F57742">
        <w:rPr>
          <w:rFonts w:ascii="Times New Roman" w:hAnsi="Times New Roman" w:cs="Times New Roman" w:hint="eastAsia"/>
        </w:rPr>
        <w:t>g</w:t>
      </w:r>
      <w:r w:rsidR="00F57742">
        <w:rPr>
          <w:rFonts w:ascii="Times New Roman" w:hAnsi="Times New Roman" w:cs="Times New Roman"/>
        </w:rPr>
        <w:t>nate target gene</w:t>
      </w:r>
      <w:r w:rsidR="00F57742">
        <w:rPr>
          <w:rFonts w:ascii="Times New Roman" w:hAnsi="Times New Roman" w:cs="Times New Roman" w:hint="eastAsia"/>
        </w:rPr>
        <w:t>s</w:t>
      </w:r>
      <w:r w:rsidR="00F57742">
        <w:rPr>
          <w:rFonts w:ascii="Times New Roman" w:hAnsi="Times New Roman" w:cs="Times New Roman"/>
        </w:rPr>
        <w:t xml:space="preserve"> </w:t>
      </w:r>
      <w:r w:rsidR="00F57742">
        <w:rPr>
          <w:rFonts w:ascii="Times New Roman" w:hAnsi="Times New Roman" w:cs="Times New Roman" w:hint="eastAsia"/>
        </w:rPr>
        <w:t>which</w:t>
      </w:r>
      <w:r w:rsidR="00F57742">
        <w:rPr>
          <w:rFonts w:ascii="Times New Roman" w:hAnsi="Times New Roman" w:cs="Times New Roman"/>
        </w:rPr>
        <w:t xml:space="preserve"> </w:t>
      </w:r>
      <w:r w:rsidR="00F57742">
        <w:rPr>
          <w:rFonts w:ascii="Times New Roman" w:hAnsi="Times New Roman" w:cs="Times New Roman" w:hint="eastAsia"/>
        </w:rPr>
        <w:t>are</w:t>
      </w:r>
      <w:r w:rsidR="00F57742">
        <w:rPr>
          <w:rFonts w:ascii="Times New Roman" w:hAnsi="Times New Roman" w:cs="Times New Roman"/>
        </w:rPr>
        <w:t xml:space="preserve"> </w:t>
      </w:r>
      <w:r w:rsidR="00F57742">
        <w:rPr>
          <w:rFonts w:ascii="Times New Roman" w:hAnsi="Times New Roman" w:cs="Times New Roman" w:hint="eastAsia"/>
        </w:rPr>
        <w:t>biologically</w:t>
      </w:r>
      <w:r w:rsidR="00F57742">
        <w:rPr>
          <w:rFonts w:ascii="Times New Roman" w:hAnsi="Times New Roman" w:cs="Times New Roman"/>
        </w:rPr>
        <w:t xml:space="preserve"> relevant should be in negative correlation under the following premises, is held by most of the researchers:</w:t>
      </w:r>
    </w:p>
    <w:p w14:paraId="4A606283" w14:textId="77777777" w:rsidR="00F57742" w:rsidRPr="00325A4C" w:rsidRDefault="00F57742" w:rsidP="00F57742">
      <w:pPr>
        <w:pStyle w:val="ListParagraph"/>
        <w:numPr>
          <w:ilvl w:val="1"/>
          <w:numId w:val="2"/>
        </w:numPr>
        <w:ind w:firstLineChars="0"/>
        <w:rPr>
          <w:rFonts w:ascii="Times New Roman" w:hAnsi="Times New Roman" w:cs="Times New Roman"/>
        </w:rPr>
      </w:pPr>
      <w:r w:rsidRPr="00325A4C">
        <w:rPr>
          <w:rFonts w:ascii="Times New Roman" w:hAnsi="Times New Roman" w:cs="Times New Roman"/>
        </w:rPr>
        <w:t>Complementarity is the sole determinant of silencing;</w:t>
      </w:r>
    </w:p>
    <w:p w14:paraId="4B4F7A34" w14:textId="59FC5435" w:rsidR="00F57742" w:rsidRPr="00F57742" w:rsidRDefault="00F57742" w:rsidP="00F57742">
      <w:pPr>
        <w:pStyle w:val="ListParagraph"/>
        <w:numPr>
          <w:ilvl w:val="1"/>
          <w:numId w:val="2"/>
        </w:numPr>
        <w:ind w:firstLineChars="0"/>
        <w:rPr>
          <w:rFonts w:ascii="Times New Roman" w:hAnsi="Times New Roman" w:cs="Times New Roman"/>
        </w:rPr>
      </w:pPr>
      <w:r w:rsidRPr="00325A4C">
        <w:rPr>
          <w:rFonts w:ascii="Times New Roman" w:hAnsi="Times New Roman" w:cs="Times New Roman"/>
        </w:rPr>
        <w:t>Plant miRNA-loaded RNA-induced silencing complex (miRISC) is able to act independently.</w:t>
      </w:r>
    </w:p>
    <w:p w14:paraId="1DB8D60B" w14:textId="080CCA3B" w:rsidR="008D1880" w:rsidRPr="00782D78" w:rsidRDefault="008D1880" w:rsidP="00AC279A">
      <w:pPr>
        <w:jc w:val="left"/>
        <w:rPr>
          <w:rFonts w:ascii="Times" w:hAnsi="Times" w:cs="Times"/>
          <w:color w:val="000000"/>
          <w:kern w:val="0"/>
        </w:rPr>
      </w:pPr>
      <w:r>
        <w:rPr>
          <w:rFonts w:ascii="Times" w:hAnsi="Times" w:cs="Times"/>
          <w:color w:val="000000"/>
          <w:kern w:val="0"/>
        </w:rPr>
        <w:t xml:space="preserve">With the </w:t>
      </w:r>
      <w:r w:rsidR="00F57742">
        <w:rPr>
          <w:rFonts w:ascii="Times" w:hAnsi="Times" w:cs="Times"/>
          <w:color w:val="000000"/>
          <w:kern w:val="0"/>
        </w:rPr>
        <w:t>703</w:t>
      </w:r>
      <w:r>
        <w:rPr>
          <w:rFonts w:ascii="Times" w:hAnsi="Times" w:cs="Times"/>
          <w:color w:val="000000"/>
          <w:kern w:val="0"/>
        </w:rPr>
        <w:t xml:space="preserve"> genes predicted to be the targets of </w:t>
      </w:r>
      <w:r w:rsidR="00F57742">
        <w:rPr>
          <w:rFonts w:ascii="Times" w:hAnsi="Times" w:cs="Times"/>
          <w:color w:val="000000"/>
          <w:kern w:val="0"/>
        </w:rPr>
        <w:t xml:space="preserve">220 conserved MaMiRNAs with </w:t>
      </w:r>
      <w:r w:rsidR="00F57742" w:rsidRPr="00F57742">
        <w:rPr>
          <w:rFonts w:ascii="Times" w:hAnsi="Times" w:cs="Times"/>
          <w:color w:val="000000"/>
          <w:kern w:val="0"/>
        </w:rPr>
        <w:t>mainstream web-based Plant Small RNA Target</w:t>
      </w:r>
      <w:r w:rsidR="00F57742">
        <w:rPr>
          <w:rFonts w:ascii="Times" w:hAnsi="Times" w:cs="Times"/>
          <w:color w:val="000000"/>
          <w:kern w:val="0"/>
        </w:rPr>
        <w:t xml:space="preserve"> Analysis Server (</w:t>
      </w:r>
      <w:r w:rsidR="00F57742" w:rsidRPr="00F57742">
        <w:rPr>
          <w:rFonts w:ascii="Times" w:hAnsi="Times" w:cs="Times"/>
          <w:i/>
          <w:color w:val="000000"/>
          <w:kern w:val="0"/>
        </w:rPr>
        <w:t>psRNATarget</w:t>
      </w:r>
      <w:r w:rsidR="00F57742">
        <w:rPr>
          <w:rFonts w:ascii="Times" w:hAnsi="Times" w:cs="Times"/>
          <w:color w:val="000000"/>
          <w:kern w:val="0"/>
        </w:rPr>
        <w:t>), the question whether these targets are biologically regulated by their pu</w:t>
      </w:r>
      <w:r w:rsidR="00A805CB">
        <w:rPr>
          <w:rFonts w:ascii="Times" w:hAnsi="Times" w:cs="Times"/>
          <w:color w:val="000000"/>
          <w:kern w:val="0"/>
        </w:rPr>
        <w:t xml:space="preserve">tative regulator miRNAs arises, which we call as biologically relevant targets.  </w:t>
      </w:r>
      <w:r w:rsidR="00F57742">
        <w:rPr>
          <w:rFonts w:ascii="Times" w:hAnsi="Times" w:cs="Times"/>
          <w:color w:val="000000"/>
          <w:kern w:val="0"/>
        </w:rPr>
        <w:t xml:space="preserve">We </w:t>
      </w:r>
      <w:r w:rsidR="002572BC">
        <w:rPr>
          <w:rFonts w:ascii="Times" w:hAnsi="Times" w:cs="Times"/>
          <w:color w:val="000000"/>
          <w:kern w:val="0"/>
        </w:rPr>
        <w:t xml:space="preserve">tried to </w:t>
      </w:r>
      <w:r w:rsidR="00A805CB">
        <w:rPr>
          <w:rFonts w:ascii="Times" w:hAnsi="Times" w:cs="Times"/>
          <w:color w:val="000000"/>
          <w:kern w:val="0"/>
        </w:rPr>
        <w:t xml:space="preserve">screen the biologically relevant targets of the prediction results with the expression data of both miRNAs and predicted targets. Before the screening, we applied the expression correlation method to the degradome validated 46 target genes which are regarded as bona fide targets. The results are surprising, only 31.96% of the total mature </w:t>
      </w:r>
      <w:proofErr w:type="gramStart"/>
      <w:r w:rsidR="00C33A3E">
        <w:rPr>
          <w:rFonts w:ascii="Times" w:hAnsi="Times" w:cs="Times"/>
          <w:color w:val="000000"/>
          <w:kern w:val="0"/>
        </w:rPr>
        <w:t>miRNA:target</w:t>
      </w:r>
      <w:proofErr w:type="gramEnd"/>
      <w:r w:rsidR="00C33A3E">
        <w:rPr>
          <w:rFonts w:ascii="Times" w:hAnsi="Times" w:cs="Times"/>
          <w:color w:val="000000"/>
          <w:kern w:val="0"/>
        </w:rPr>
        <w:t xml:space="preserve"> pairs</w:t>
      </w:r>
      <w:r w:rsidR="00A805CB">
        <w:rPr>
          <w:rFonts w:ascii="Times" w:hAnsi="Times" w:cs="Times"/>
          <w:color w:val="000000"/>
          <w:kern w:val="0"/>
        </w:rPr>
        <w:t xml:space="preserve"> are found negatively correlated and </w:t>
      </w:r>
      <w:r w:rsidR="00C33A3E">
        <w:rPr>
          <w:rFonts w:ascii="Times" w:hAnsi="Times" w:cs="Times"/>
          <w:color w:val="000000"/>
          <w:kern w:val="0"/>
        </w:rPr>
        <w:t>37.06% of the total pre-miRNA:target pairs are found negatively correlated.</w:t>
      </w:r>
      <w:r w:rsidR="00F01477">
        <w:rPr>
          <w:rFonts w:ascii="Times" w:hAnsi="Times" w:cs="Times"/>
          <w:color w:val="000000"/>
          <w:kern w:val="0"/>
        </w:rPr>
        <w:t xml:space="preserve"> Thus </w:t>
      </w:r>
      <w:r w:rsidR="00E02DDB">
        <w:rPr>
          <w:rFonts w:ascii="Times" w:hAnsi="Times" w:cs="Times"/>
          <w:color w:val="000000"/>
          <w:kern w:val="0"/>
        </w:rPr>
        <w:t>correlation between miRNA levels and target mRNA levels did not reveal a clear negative relationship between them.</w:t>
      </w:r>
    </w:p>
    <w:sectPr w:rsidR="008D1880" w:rsidRPr="00782D78"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03336"/>
    <w:multiLevelType w:val="hybridMultilevel"/>
    <w:tmpl w:val="0E66A734"/>
    <w:lvl w:ilvl="0" w:tplc="F134FD4E">
      <w:start w:val="1"/>
      <w:numFmt w:val="upperLetter"/>
      <w:lvlText w:val="%1."/>
      <w:lvlJc w:val="left"/>
      <w:pPr>
        <w:ind w:left="360" w:hanging="360"/>
      </w:pPr>
      <w:rPr>
        <w:rFonts w:hint="default"/>
      </w:rPr>
    </w:lvl>
    <w:lvl w:ilvl="1" w:tplc="3828E2E4">
      <w:start w:val="1"/>
      <w:numFmt w:val="lowerLetter"/>
      <w:lvlText w:val="%2)"/>
      <w:lvlJc w:val="left"/>
      <w:pPr>
        <w:ind w:left="907" w:hanging="427"/>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0DC56F2"/>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710064A6"/>
    <w:multiLevelType w:val="multilevel"/>
    <w:tmpl w:val="73EA647C"/>
    <w:lvl w:ilvl="0">
      <w:start w:val="1"/>
      <w:numFmt w:val="upperLetter"/>
      <w:lvlText w:val="%1."/>
      <w:lvlJc w:val="left"/>
      <w:pPr>
        <w:ind w:left="360" w:hanging="360"/>
      </w:pPr>
      <w:rPr>
        <w:rFonts w:hint="default"/>
      </w:rPr>
    </w:lvl>
    <w:lvl w:ilvl="1">
      <w:start w:val="1"/>
      <w:numFmt w:val="lowerLetter"/>
      <w:lvlText w:val="%2)"/>
      <w:lvlJc w:val="left"/>
      <w:pPr>
        <w:ind w:left="960" w:hanging="480"/>
      </w:pPr>
      <w:rPr>
        <w:rFonts w:hint="eastAsia"/>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oNotDisplayPageBoundaries/>
  <w:proofState w:spelling="clean" w:grammar="clean"/>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CB"/>
    <w:rsid w:val="000157DD"/>
    <w:rsid w:val="00036B58"/>
    <w:rsid w:val="00040D48"/>
    <w:rsid w:val="00060D91"/>
    <w:rsid w:val="000E4483"/>
    <w:rsid w:val="000F2952"/>
    <w:rsid w:val="0013651E"/>
    <w:rsid w:val="00143788"/>
    <w:rsid w:val="0015092C"/>
    <w:rsid w:val="00175EAC"/>
    <w:rsid w:val="00182B09"/>
    <w:rsid w:val="001B392A"/>
    <w:rsid w:val="001B54BE"/>
    <w:rsid w:val="001F38F4"/>
    <w:rsid w:val="00211B0A"/>
    <w:rsid w:val="002572BC"/>
    <w:rsid w:val="0028785D"/>
    <w:rsid w:val="002B2EEC"/>
    <w:rsid w:val="002C4735"/>
    <w:rsid w:val="002F603F"/>
    <w:rsid w:val="002F73CB"/>
    <w:rsid w:val="00330682"/>
    <w:rsid w:val="00344FA4"/>
    <w:rsid w:val="003519FC"/>
    <w:rsid w:val="0038199D"/>
    <w:rsid w:val="003A54A2"/>
    <w:rsid w:val="003C549F"/>
    <w:rsid w:val="003E28E3"/>
    <w:rsid w:val="003F64F8"/>
    <w:rsid w:val="00437B11"/>
    <w:rsid w:val="0046175D"/>
    <w:rsid w:val="00466BB0"/>
    <w:rsid w:val="004A5F4E"/>
    <w:rsid w:val="004F64C6"/>
    <w:rsid w:val="00506CDE"/>
    <w:rsid w:val="00516662"/>
    <w:rsid w:val="0057009A"/>
    <w:rsid w:val="00582F42"/>
    <w:rsid w:val="005B1710"/>
    <w:rsid w:val="005E0997"/>
    <w:rsid w:val="005F7A6B"/>
    <w:rsid w:val="00621859"/>
    <w:rsid w:val="00622DB1"/>
    <w:rsid w:val="006A2A0E"/>
    <w:rsid w:val="006E51C9"/>
    <w:rsid w:val="006E6E00"/>
    <w:rsid w:val="006E6F7E"/>
    <w:rsid w:val="00770FA3"/>
    <w:rsid w:val="00782D78"/>
    <w:rsid w:val="008425EF"/>
    <w:rsid w:val="008519B6"/>
    <w:rsid w:val="00870331"/>
    <w:rsid w:val="008D1880"/>
    <w:rsid w:val="00900257"/>
    <w:rsid w:val="0092209D"/>
    <w:rsid w:val="00933092"/>
    <w:rsid w:val="00942D01"/>
    <w:rsid w:val="00953FF0"/>
    <w:rsid w:val="00967C39"/>
    <w:rsid w:val="00976C6F"/>
    <w:rsid w:val="00976C80"/>
    <w:rsid w:val="009951A3"/>
    <w:rsid w:val="009A5D47"/>
    <w:rsid w:val="009B0D12"/>
    <w:rsid w:val="009C6126"/>
    <w:rsid w:val="00A17A5F"/>
    <w:rsid w:val="00A472BC"/>
    <w:rsid w:val="00A805CB"/>
    <w:rsid w:val="00AC065D"/>
    <w:rsid w:val="00AC279A"/>
    <w:rsid w:val="00AC5A69"/>
    <w:rsid w:val="00AE3759"/>
    <w:rsid w:val="00B03F72"/>
    <w:rsid w:val="00B268B6"/>
    <w:rsid w:val="00B404E0"/>
    <w:rsid w:val="00B566D7"/>
    <w:rsid w:val="00B95D48"/>
    <w:rsid w:val="00BC64E7"/>
    <w:rsid w:val="00BE5AA5"/>
    <w:rsid w:val="00C23529"/>
    <w:rsid w:val="00C33A3E"/>
    <w:rsid w:val="00C42806"/>
    <w:rsid w:val="00C85A9E"/>
    <w:rsid w:val="00CB15DA"/>
    <w:rsid w:val="00CF19D3"/>
    <w:rsid w:val="00CF1DFE"/>
    <w:rsid w:val="00D13C54"/>
    <w:rsid w:val="00D61236"/>
    <w:rsid w:val="00DB0EBF"/>
    <w:rsid w:val="00DC6D4E"/>
    <w:rsid w:val="00DC7ADC"/>
    <w:rsid w:val="00E02DDB"/>
    <w:rsid w:val="00E119CC"/>
    <w:rsid w:val="00E615A0"/>
    <w:rsid w:val="00E65624"/>
    <w:rsid w:val="00E85D52"/>
    <w:rsid w:val="00EB73E1"/>
    <w:rsid w:val="00F01477"/>
    <w:rsid w:val="00F0391B"/>
    <w:rsid w:val="00F05895"/>
    <w:rsid w:val="00F355FE"/>
    <w:rsid w:val="00F551B5"/>
    <w:rsid w:val="00F57742"/>
    <w:rsid w:val="00F7575E"/>
    <w:rsid w:val="00FD1E9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98CC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7742"/>
    <w:pPr>
      <w:widowControl w:val="0"/>
      <w:jc w:val="both"/>
    </w:pPr>
    <w:rPr>
      <w:kern w:val="2"/>
    </w:rPr>
  </w:style>
  <w:style w:type="paragraph" w:styleId="Heading1">
    <w:name w:val="heading 1"/>
    <w:basedOn w:val="Normal"/>
    <w:next w:val="Normal"/>
    <w:link w:val="Heading1Char"/>
    <w:uiPriority w:val="9"/>
    <w:qFormat/>
    <w:rsid w:val="00870331"/>
    <w:pPr>
      <w:keepNext/>
      <w:keepLines/>
      <w:numPr>
        <w:numId w:val="1"/>
      </w:numPr>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331"/>
    <w:rPr>
      <w:b/>
      <w:bCs/>
      <w:kern w:val="44"/>
      <w:sz w:val="44"/>
      <w:szCs w:val="44"/>
    </w:rPr>
  </w:style>
  <w:style w:type="paragraph" w:styleId="ListParagraph">
    <w:name w:val="List Paragraph"/>
    <w:basedOn w:val="Normal"/>
    <w:uiPriority w:val="34"/>
    <w:qFormat/>
    <w:rsid w:val="00F57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436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980</Words>
  <Characters>5591</Characters>
  <Application>Microsoft Macintosh Word</Application>
  <DocSecurity>0</DocSecurity>
  <Lines>46</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Result</vt:lpstr>
    </vt:vector>
  </TitlesOfParts>
  <LinksUpToDate>false</LinksUpToDate>
  <CharactersWithSpaces>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11</cp:revision>
  <dcterms:created xsi:type="dcterms:W3CDTF">2016-10-25T02:46:00Z</dcterms:created>
  <dcterms:modified xsi:type="dcterms:W3CDTF">2016-11-23T09:08:00Z</dcterms:modified>
</cp:coreProperties>
</file>