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500B074E" w:rsidR="004A0171" w:rsidRDefault="004A0171" w:rsidP="002F5405">
      <w:pPr>
        <w:pStyle w:val="Heading1"/>
        <w:numPr>
          <w:ilvl w:val="0"/>
          <w:numId w:val="0"/>
        </w:numPr>
        <w:jc w:val="center"/>
        <w:rPr>
          <w:rFonts w:ascii="Times New Roman" w:hAnsi="Times New Roman" w:cs="Times New Roman"/>
        </w:rPr>
      </w:pPr>
      <w:r w:rsidRPr="00407EA0">
        <w:rPr>
          <w:rFonts w:ascii="Times New Roman" w:hAnsi="Times New Roman" w:cs="Times New Roman"/>
        </w:rPr>
        <w:t>Work</w:t>
      </w:r>
      <w:r w:rsidR="001163CB">
        <w:rPr>
          <w:rFonts w:ascii="Times New Roman" w:hAnsi="Times New Roman" w:cs="Times New Roman"/>
        </w:rPr>
        <w:t xml:space="preserve"> Plan and Progress 2016/7/27</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5AC24DD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 xml:space="preserve">the osa-miR444 family sequences, I have found only </w:t>
      </w:r>
      <w:r w:rsidR="00D10F59" w:rsidRPr="00580E8F">
        <w:rPr>
          <w:rFonts w:ascii="Times New Roman" w:hAnsi="Times New Roman" w:cs="Times New Roman"/>
          <w:color w:val="7030A0"/>
        </w:rPr>
        <w:t>their</w:t>
      </w:r>
      <w:r w:rsidRPr="00580E8F">
        <w:rPr>
          <w:rFonts w:ascii="Times New Roman" w:hAnsi="Times New Roman" w:cs="Times New Roman"/>
          <w:color w:val="7030A0"/>
        </w:rPr>
        <w:t xml:space="preserve">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statistics and analysis (2015/9-2015/10)</w:t>
      </w:r>
    </w:p>
    <w:p w14:paraId="40C116A9"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2 ways: a) SNP statistics, b)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02E56BC0" w14:textId="77777777" w:rsidR="004A0171" w:rsidRPr="004E1FDB" w:rsidRDefault="004A0171" w:rsidP="004A0171">
      <w:pPr>
        <w:pStyle w:val="ListParagraph"/>
        <w:numPr>
          <w:ilvl w:val="0"/>
          <w:numId w:val="2"/>
        </w:numPr>
        <w:ind w:firstLineChars="0"/>
        <w:rPr>
          <w:rFonts w:ascii="Times New Roman" w:hAnsi="Times New Roman" w:cs="Times New Roman"/>
        </w:rPr>
      </w:pPr>
      <w:r w:rsidRPr="004E1FDB">
        <w:rPr>
          <w:rFonts w:ascii="Times New Roman" w:hAnsi="Times New Roman" w:cs="Times New Roman"/>
        </w:rPr>
        <w:t>MiRNA SNP statistics</w:t>
      </w:r>
    </w:p>
    <w:p w14:paraId="366366EA"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Pre-miRNA SNP density</w:t>
      </w:r>
    </w:p>
    <w:p w14:paraId="1E6FE166" w14:textId="77777777" w:rsidR="002E690E" w:rsidRPr="002E690E" w:rsidRDefault="004A0171" w:rsidP="004A0171">
      <w:pPr>
        <w:pStyle w:val="ListParagraph"/>
        <w:numPr>
          <w:ilvl w:val="2"/>
          <w:numId w:val="2"/>
        </w:numPr>
        <w:ind w:leftChars="200" w:left="960"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4526CDFC" w14:textId="77777777" w:rsidR="004A0171" w:rsidRPr="002E690E" w:rsidRDefault="004A0171" w:rsidP="002E690E">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7CB924C5" w14:textId="77777777" w:rsidR="004A0171" w:rsidRPr="00580E8F" w:rsidRDefault="004A0171" w:rsidP="004A0171">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5C48CCE" w14:textId="77777777" w:rsidR="004A0171" w:rsidRDefault="004A0171" w:rsidP="002E690E">
      <w:pPr>
        <w:pStyle w:val="ListParagraph"/>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405AA2C3"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7022EA34" w14:textId="77777777" w:rsidR="004A0171" w:rsidRPr="003F2C91" w:rsidRDefault="004A0171" w:rsidP="004A0171">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067FC528" w14:textId="77777777" w:rsidR="004A0171" w:rsidRPr="00580E8F" w:rsidRDefault="004A0171" w:rsidP="004A0171">
      <w:pPr>
        <w:pStyle w:val="ListParagraph"/>
        <w:numPr>
          <w:ilvl w:val="0"/>
          <w:numId w:val="8"/>
        </w:numPr>
        <w:ind w:firstLine="480"/>
        <w:rPr>
          <w:rFonts w:ascii="Times New Roman" w:hAnsi="Times New Roman" w:cs="Times New Roman"/>
          <w:color w:val="7030A0"/>
        </w:rPr>
      </w:pPr>
      <w:r w:rsidRPr="00580E8F">
        <w:rPr>
          <w:rFonts w:ascii="Times New Roman" w:hAnsi="Times New Roman" w:cs="Times New Roman"/>
          <w:color w:val="7030A0"/>
        </w:rPr>
        <w:t>Overall</w:t>
      </w:r>
      <w:r w:rsidRPr="00580E8F">
        <w:rPr>
          <w:rFonts w:ascii="Times New Roman" w:hAnsi="Times New Roman" w:cs="Times New Roman"/>
          <w:color w:val="7030A0"/>
          <w:lang w:val="it-IT"/>
        </w:rPr>
        <w:t xml:space="preserve">, </w:t>
      </w:r>
      <w:r w:rsidRPr="00580E8F">
        <w:rPr>
          <w:rFonts w:ascii="Times New Roman" w:hAnsi="Times New Roman" w:cs="Times New Roman"/>
          <w:color w:val="7030A0"/>
        </w:rPr>
        <w:t>position</w:t>
      </w:r>
      <w:r w:rsidR="002E690E">
        <w:rPr>
          <w:rFonts w:ascii="Times New Roman" w:hAnsi="Times New Roman" w:cs="Times New Roman"/>
          <w:color w:val="7030A0"/>
        </w:rPr>
        <w:t>s</w:t>
      </w:r>
      <w:r w:rsidRPr="00580E8F">
        <w:rPr>
          <w:rFonts w:ascii="Times New Roman" w:hAnsi="Times New Roman" w:cs="Times New Roman"/>
          <w:color w:val="7030A0"/>
        </w:rPr>
        <w:t xml:space="preserve"> </w:t>
      </w:r>
      <w:r w:rsidR="002E690E">
        <w:rPr>
          <w:rFonts w:ascii="Times New Roman" w:hAnsi="Times New Roman" w:cs="Times New Roman"/>
          <w:color w:val="7030A0"/>
          <w:lang w:val="it-IT"/>
        </w:rPr>
        <w:t>(1, 18 ,11) possess</w:t>
      </w:r>
      <w:r w:rsidRPr="00580E8F">
        <w:rPr>
          <w:rFonts w:ascii="Times New Roman" w:hAnsi="Times New Roman" w:cs="Times New Roman"/>
          <w:color w:val="7030A0"/>
          <w:lang w:val="it-IT"/>
        </w:rPr>
        <w:t xml:space="preserve"> the lowest SNP frequency</w:t>
      </w:r>
      <w:r w:rsidR="002E690E">
        <w:rPr>
          <w:rFonts w:ascii="Times New Roman" w:hAnsi="Times New Roman" w:cs="Times New Roman"/>
          <w:color w:val="7030A0"/>
          <w:lang w:val="it-IT"/>
        </w:rPr>
        <w:t>;</w:t>
      </w:r>
    </w:p>
    <w:p w14:paraId="6EBB312C" w14:textId="77777777" w:rsidR="004A0171" w:rsidRDefault="004A0171" w:rsidP="004A0171">
      <w:pPr>
        <w:pStyle w:val="ListParagraph"/>
        <w:numPr>
          <w:ilvl w:val="2"/>
          <w:numId w:val="8"/>
        </w:numPr>
        <w:ind w:firstLineChars="0"/>
        <w:rPr>
          <w:rFonts w:ascii="Times New Roman" w:hAnsi="Times New Roman" w:cs="Times New Roman"/>
          <w:color w:val="FF8098"/>
        </w:rPr>
      </w:pPr>
      <w:r w:rsidRPr="00580E8F">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r w:rsidRPr="003F2C91">
        <w:rPr>
          <w:rFonts w:ascii="Times New Roman" w:hAnsi="Times New Roman" w:cs="Times New Roman"/>
          <w:color w:val="FF8098"/>
        </w:rPr>
        <w:t>.</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7A0F9B59"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 xml:space="preserve">the expression of miRNAs </w:t>
      </w:r>
      <w:r w:rsidR="00D10F59" w:rsidRPr="00580E8F">
        <w:rPr>
          <w:rFonts w:ascii="Times New Roman" w:hAnsi="Times New Roman" w:cs="Times New Roman"/>
          <w:color w:val="7030A0"/>
        </w:rPr>
        <w:t>is</w:t>
      </w:r>
      <w:r w:rsidR="004A0171" w:rsidRPr="00580E8F">
        <w:rPr>
          <w:rFonts w:ascii="Times New Roman" w:hAnsi="Times New Roman" w:cs="Times New Roman"/>
          <w:color w:val="7030A0"/>
        </w:rPr>
        <w:t xml:space="preserv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7408C20D"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49E208D5" w14:textId="77777777" w:rsidR="001163CB" w:rsidRPr="00E563C1" w:rsidRDefault="001163CB" w:rsidP="001163CB">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F79AB7E" w14:textId="77777777" w:rsidR="001163CB" w:rsidRPr="00837913" w:rsidRDefault="001163CB" w:rsidP="001163CB">
      <w:pPr>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79B4F1FD" w14:textId="77777777" w:rsidR="001163CB" w:rsidRDefault="001163CB" w:rsidP="001163CB">
      <w:pPr>
        <w:rPr>
          <w:rFonts w:ascii="Times New Roman" w:hAnsi="Times New Roman" w:cs="Times New Roman"/>
        </w:rPr>
      </w:pPr>
    </w:p>
    <w:p w14:paraId="2DB4626F" w14:textId="77777777" w:rsidR="001163CB" w:rsidRPr="003B010D" w:rsidRDefault="001163CB" w:rsidP="001163CB">
      <w:pPr>
        <w:rPr>
          <w:rFonts w:ascii="Times New Roman" w:hAnsi="Times New Roman" w:cs="Times New Roman"/>
          <w:b/>
          <w:i/>
        </w:rPr>
      </w:pPr>
      <w:r w:rsidRPr="003B010D">
        <w:rPr>
          <w:rFonts w:ascii="Times New Roman" w:hAnsi="Times New Roman" w:cs="Times New Roman"/>
          <w:b/>
          <w:i/>
        </w:rPr>
        <w:t>Analysis procedure</w:t>
      </w:r>
      <w:r>
        <w:rPr>
          <w:rFonts w:ascii="Times New Roman" w:hAnsi="Times New Roman" w:cs="Times New Roman"/>
          <w:b/>
          <w:i/>
        </w:rPr>
        <w:t>s</w:t>
      </w:r>
      <w:r w:rsidRPr="003B010D">
        <w:rPr>
          <w:rFonts w:ascii="Times New Roman" w:hAnsi="Times New Roman" w:cs="Times New Roman"/>
          <w:b/>
          <w:i/>
        </w:rPr>
        <w:t>:</w:t>
      </w:r>
    </w:p>
    <w:p w14:paraId="7C3108F9" w14:textId="77777777" w:rsidR="001163CB" w:rsidRDefault="001163CB" w:rsidP="001163CB">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003231B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A9293F"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Complementarity patterns of miRNA:target interaction pairs are divided into 2 groups, namely, degradome validated</w:t>
      </w:r>
      <w:r>
        <w:rPr>
          <w:rFonts w:ascii="Times New Roman" w:hAnsi="Times New Roman" w:cs="Times New Roman"/>
        </w:rPr>
        <w:t xml:space="preserve"> </w:t>
      </w:r>
      <w:r w:rsidRPr="004D260E">
        <w:rPr>
          <w:rFonts w:ascii="Times New Roman" w:hAnsi="Times New Roman" w:cs="Times New Roman"/>
        </w:rPr>
        <w:t xml:space="preserve">(DV) group and predicted but not degradome validated </w:t>
      </w:r>
    </w:p>
    <w:p w14:paraId="14A0167B"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(PNDV, their cleavage product</w:t>
      </w:r>
      <w:r>
        <w:rPr>
          <w:rFonts w:ascii="Times New Roman" w:hAnsi="Times New Roman" w:cs="Times New Roman"/>
        </w:rPr>
        <w:t>s</w:t>
      </w:r>
      <w:r w:rsidRPr="004D260E">
        <w:rPr>
          <w:rFonts w:ascii="Times New Roman" w:hAnsi="Times New Roman" w:cs="Times New Roman"/>
        </w:rPr>
        <w:t xml:space="preserve"> of target genes are not detected, 2 possibilities: a. not true target genes; b. the target gene does not express at the detected organ at the chosen stage) group (all member comparison); </w:t>
      </w:r>
    </w:p>
    <w:p w14:paraId="5C8B1E36"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 xml:space="preserve">Considering make the contribution of each miRNA family even, I’ve summarized the pattern choosing only one family member of each miRNA family as representative pattern (representative comparison); this may be more accurate for the result would not be skewed by the different number of miRNA family members; </w:t>
      </w:r>
    </w:p>
    <w:p w14:paraId="6012D9ED" w14:textId="77777777" w:rsid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4D260E">
        <w:rPr>
          <w:rFonts w:ascii="Times New Roman" w:hAnsi="Times New Roman" w:cs="Times New Roman"/>
        </w:rPr>
        <w:t xml:space="preserve">Note: we choose "miRXXXa” member as the representative, for generally the miRXXXa is the most common and highest expressed ones of the whole family. </w:t>
      </w:r>
    </w:p>
    <w:p w14:paraId="4E3F50E8"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Basic Statistics</w:t>
      </w:r>
      <w:r w:rsidRPr="00837913">
        <w:rPr>
          <w:rFonts w:ascii="Times New Roman" w:hAnsi="Times New Roman" w:cs="Times New Roman"/>
          <w:b/>
          <w:color w:val="FF0000"/>
        </w:rPr>
        <w:t>:</w:t>
      </w:r>
    </w:p>
    <w:p w14:paraId="6E0FBF20" w14:textId="77777777" w:rsidR="001163CB" w:rsidRDefault="001163CB" w:rsidP="001163CB">
      <w:pPr>
        <w:pStyle w:val="ListParagraph"/>
        <w:widowControl/>
        <w:numPr>
          <w:ilvl w:val="0"/>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Classification is performed on a data set composed of 193 conserved miRNAs and 616 targets, and in total 1464 complementarity patterns; </w:t>
      </w:r>
    </w:p>
    <w:p w14:paraId="6D242F93"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all member comparison: </w:t>
      </w:r>
    </w:p>
    <w:p w14:paraId="20420B79"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1037 patterns in the PNDV set; </w:t>
      </w:r>
    </w:p>
    <w:p w14:paraId="20BED82E"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427 patterns in the DV set; </w:t>
      </w:r>
    </w:p>
    <w:p w14:paraId="54783187"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representative comparison: </w:t>
      </w:r>
    </w:p>
    <w:p w14:paraId="2210F990"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420 patterns for PNDV set; </w:t>
      </w:r>
    </w:p>
    <w:p w14:paraId="0042C3E9" w14:textId="77777777" w:rsidR="001163CB" w:rsidRPr="004D260E"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54 patterns for DV set; </w:t>
      </w:r>
    </w:p>
    <w:p w14:paraId="1C6276C5"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08733518"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b/>
          <w:color w:val="7030A0"/>
        </w:rPr>
      </w:pPr>
      <w:r w:rsidRPr="007C25E7">
        <w:rPr>
          <w:rFonts w:ascii="Times New Roman" w:hAnsi="Times New Roman" w:cs="Times New Roman"/>
          <w:b/>
          <w:bCs/>
          <w:color w:val="7030A0"/>
        </w:rPr>
        <w:t xml:space="preserve">Comparison between DV set for representative </w:t>
      </w:r>
      <w:r>
        <w:rPr>
          <w:rFonts w:ascii="Times New Roman" w:hAnsi="Times New Roman" w:cs="Times New Roman"/>
          <w:b/>
          <w:bCs/>
          <w:color w:val="7030A0"/>
        </w:rPr>
        <w:t>mode</w:t>
      </w:r>
      <w:r w:rsidRPr="007C25E7">
        <w:rPr>
          <w:rFonts w:ascii="Times New Roman" w:hAnsi="Times New Roman" w:cs="Times New Roman"/>
          <w:b/>
          <w:bCs/>
          <w:color w:val="7030A0"/>
        </w:rPr>
        <w:t xml:space="preserve"> and DV set for all member </w:t>
      </w:r>
      <w:r>
        <w:rPr>
          <w:rFonts w:ascii="Times New Roman" w:hAnsi="Times New Roman" w:cs="Times New Roman"/>
          <w:b/>
          <w:bCs/>
          <w:color w:val="7030A0"/>
        </w:rPr>
        <w:t>mode</w:t>
      </w:r>
    </w:p>
    <w:p w14:paraId="46C88D32"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b/>
          <w:bCs/>
          <w:i/>
          <w:iCs/>
          <w:color w:val="7030A0"/>
        </w:rPr>
        <w:t>Note:</w:t>
      </w:r>
      <w:r w:rsidRPr="004D260E">
        <w:rPr>
          <w:rFonts w:ascii="Times New Roman" w:hAnsi="Times New Roman" w:cs="Times New Roman"/>
          <w:color w:val="7030A0"/>
        </w:rPr>
        <w:t xml:space="preserve"> First, we actually cannot distinguish the true regulating members of a miRNA family to a corresponding target gene from those members that can’t regulate. Or maybe other members just regulate with different silencing efficacies because their complementarity patterns have been altered. </w:t>
      </w:r>
    </w:p>
    <w:p w14:paraId="16DD88D7"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color w:val="7030A0"/>
        </w:rPr>
        <w:t xml:space="preserve">     So we suppose that “miRXXXa” member is the true regulator, and all other members’ complementarity patterns are the isoforms to the representative one. </w:t>
      </w:r>
    </w:p>
    <w:p w14:paraId="4BD75322" w14:textId="77777777" w:rsidR="001163CB" w:rsidRPr="004D260E" w:rsidRDefault="001163CB" w:rsidP="001163CB">
      <w:pPr>
        <w:ind w:left="480"/>
        <w:rPr>
          <w:rFonts w:ascii="Times New Roman" w:hAnsi="Times New Roman" w:cs="Times New Roman"/>
          <w:color w:val="7030A0"/>
        </w:rPr>
      </w:pPr>
    </w:p>
    <w:p w14:paraId="1E9D0D94" w14:textId="77777777" w:rsidR="001163CB" w:rsidRPr="004D260E"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w:t>
      </w:r>
      <w:r w:rsidRPr="004D260E">
        <w:rPr>
          <w:rFonts w:ascii="Times New Roman" w:hAnsi="Times New Roman" w:cs="Times New Roman"/>
          <w:b/>
          <w:bCs/>
          <w:i/>
          <w:iCs/>
          <w:color w:val="7030A0"/>
        </w:rPr>
        <w:t>:</w:t>
      </w:r>
    </w:p>
    <w:p w14:paraId="0A1EB286" w14:textId="77777777" w:rsidR="001163CB" w:rsidRDefault="001163CB" w:rsidP="001163CB">
      <w:pPr>
        <w:ind w:left="720"/>
        <w:rPr>
          <w:color w:val="7030A0"/>
        </w:rPr>
      </w:pPr>
      <w:r w:rsidRPr="007C25E7">
        <w:rPr>
          <w:rFonts w:ascii="Times New Roman" w:hAnsi="Times New Roman" w:cs="Times New Roman"/>
          <w:color w:val="7030A0"/>
        </w:rPr>
        <w:t>In the representative comparison, DV set shows that position 4, 10, 11, 16 are free from mismatches;</w:t>
      </w:r>
    </w:p>
    <w:p w14:paraId="56B3644B" w14:textId="77777777" w:rsidR="001163CB" w:rsidRPr="007C25E7" w:rsidRDefault="001163CB" w:rsidP="001163CB">
      <w:pPr>
        <w:ind w:left="720"/>
        <w:rPr>
          <w:rFonts w:ascii="Times New Roman" w:hAnsi="Times New Roman" w:cs="Times New Roman"/>
          <w:color w:val="7030A0"/>
        </w:rPr>
      </w:pPr>
      <w:r>
        <w:rPr>
          <w:color w:val="7030A0"/>
        </w:rPr>
        <w:t>W</w:t>
      </w:r>
      <w:r w:rsidRPr="007C25E7">
        <w:rPr>
          <w:rFonts w:ascii="Times New Roman" w:hAnsi="Times New Roman" w:cs="Times New Roman"/>
          <w:color w:val="7030A0"/>
        </w:rPr>
        <w:t xml:space="preserve">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3B1B7221" w14:textId="77777777" w:rsidR="001163CB" w:rsidRPr="004D260E" w:rsidRDefault="001163CB" w:rsidP="001163CB">
      <w:pPr>
        <w:ind w:left="480"/>
        <w:rPr>
          <w:rFonts w:ascii="Times New Roman" w:hAnsi="Times New Roman" w:cs="Times New Roman"/>
          <w:color w:val="7030A0"/>
        </w:rPr>
      </w:pPr>
    </w:p>
    <w:p w14:paraId="26F63082"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color w:val="7030A0"/>
        </w:rPr>
      </w:pPr>
      <w:r w:rsidRPr="007C25E7">
        <w:rPr>
          <w:rFonts w:ascii="Times New Roman" w:hAnsi="Times New Roman" w:cs="Times New Roman"/>
          <w:b/>
          <w:bCs/>
          <w:color w:val="7030A0"/>
        </w:rPr>
        <w:t>Representative comparison</w:t>
      </w:r>
      <w:r>
        <w:rPr>
          <w:rFonts w:ascii="Times New Roman" w:hAnsi="Times New Roman" w:cs="Times New Roman"/>
          <w:b/>
          <w:bCs/>
          <w:color w:val="7030A0"/>
        </w:rPr>
        <w:t xml:space="preserve"> of DV set and PNDV set</w:t>
      </w:r>
      <w:r>
        <w:rPr>
          <w:rFonts w:ascii="Times New Roman" w:hAnsi="Times New Roman" w:cs="Times New Roman"/>
          <w:bCs/>
          <w:color w:val="7030A0"/>
        </w:rPr>
        <w:t xml:space="preserve"> (Compare the 2 sets only with chosen representative miRNAs)</w:t>
      </w:r>
    </w:p>
    <w:p w14:paraId="4DAFC0DE" w14:textId="77777777" w:rsidR="001163CB" w:rsidRDefault="001163CB" w:rsidP="001163CB">
      <w:pPr>
        <w:ind w:left="720"/>
        <w:rPr>
          <w:rFonts w:ascii="Times New Roman" w:hAnsi="Times New Roman" w:cs="Times New Roman"/>
          <w:b/>
          <w:bCs/>
          <w:i/>
          <w:iCs/>
          <w:color w:val="7030A0"/>
        </w:rPr>
      </w:pPr>
    </w:p>
    <w:p w14:paraId="6A86F616" w14:textId="77777777" w:rsidR="001163CB"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Conclusions</w:t>
      </w:r>
      <w:r w:rsidRPr="007C25E7">
        <w:rPr>
          <w:rFonts w:ascii="Times New Roman" w:hAnsi="Times New Roman" w:cs="Times New Roman"/>
          <w:b/>
          <w:bCs/>
          <w:i/>
          <w:iCs/>
          <w:color w:val="7030A0"/>
        </w:rPr>
        <w:t>:</w:t>
      </w:r>
    </w:p>
    <w:p w14:paraId="569BAA58" w14:textId="77777777" w:rsidR="001163CB"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All positions of PNDV set possess mismatches at some frequencies, while position 3,</w:t>
      </w:r>
      <w:r>
        <w:rPr>
          <w:rFonts w:ascii="Times New Roman" w:hAnsi="Times New Roman" w:cs="Times New Roman"/>
          <w:color w:val="7030A0"/>
        </w:rPr>
        <w:t xml:space="preserve"> </w:t>
      </w:r>
      <w:r w:rsidRPr="007C25E7">
        <w:rPr>
          <w:rFonts w:ascii="Times New Roman" w:hAnsi="Times New Roman" w:cs="Times New Roman"/>
          <w:color w:val="7030A0"/>
        </w:rPr>
        <w:t>4,</w:t>
      </w:r>
      <w:r>
        <w:rPr>
          <w:rFonts w:ascii="Times New Roman" w:hAnsi="Times New Roman" w:cs="Times New Roman"/>
          <w:color w:val="7030A0"/>
        </w:rPr>
        <w:t xml:space="preserve"> </w:t>
      </w:r>
      <w:r w:rsidRPr="007C25E7">
        <w:rPr>
          <w:rFonts w:ascii="Times New Roman" w:hAnsi="Times New Roman" w:cs="Times New Roman"/>
          <w:color w:val="7030A0"/>
        </w:rPr>
        <w:t>10,</w:t>
      </w:r>
      <w:r>
        <w:rPr>
          <w:rFonts w:ascii="Times New Roman" w:hAnsi="Times New Roman" w:cs="Times New Roman"/>
          <w:color w:val="7030A0"/>
        </w:rPr>
        <w:t xml:space="preserve"> </w:t>
      </w:r>
      <w:r w:rsidRPr="007C25E7">
        <w:rPr>
          <w:rFonts w:ascii="Times New Roman" w:hAnsi="Times New Roman" w:cs="Times New Roman"/>
          <w:color w:val="7030A0"/>
        </w:rPr>
        <w:t>11,</w:t>
      </w:r>
      <w:r>
        <w:rPr>
          <w:rFonts w:ascii="Times New Roman" w:hAnsi="Times New Roman" w:cs="Times New Roman"/>
          <w:color w:val="7030A0"/>
        </w:rPr>
        <w:t xml:space="preserve"> </w:t>
      </w:r>
      <w:r w:rsidRPr="007C25E7">
        <w:rPr>
          <w:rFonts w:ascii="Times New Roman" w:hAnsi="Times New Roman" w:cs="Times New Roman"/>
          <w:color w:val="7030A0"/>
        </w:rPr>
        <w:t xml:space="preserve">16 in DV set are free from mismatches, suggesting these 5 positions require base pairing to function well; </w:t>
      </w:r>
    </w:p>
    <w:p w14:paraId="2CE2D194" w14:textId="77777777" w:rsidR="001163CB" w:rsidRPr="007C25E7"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 xml:space="preserve">Mismatch frequencies of position 14 and 20 of the DV set is almost twice that of the PNDV set, suggesting the existence of mismatches at 3’ region would increase the possibility of turning to be a true regulating miRNA:target interaction especially at position 14 and 20; </w:t>
      </w:r>
    </w:p>
    <w:p w14:paraId="148EEBEA"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Concatenate genomic regions of miRNA precursors and miRNA binding sites together as one fragment and perform haplotype analysis;</w:t>
      </w:r>
    </w:p>
    <w:p w14:paraId="49FD3EFB"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13660E42" w14:textId="77777777" w:rsidR="001163CB" w:rsidRPr="00922549" w:rsidRDefault="001163CB" w:rsidP="001163CB">
      <w:pPr>
        <w:pStyle w:val="ListParagraph"/>
        <w:widowControl/>
        <w:numPr>
          <w:ilvl w:val="0"/>
          <w:numId w:val="24"/>
        </w:numPr>
        <w:ind w:firstLineChars="0"/>
        <w:jc w:val="left"/>
        <w:rPr>
          <w:rFonts w:ascii="Times New Roman" w:hAnsi="Times New Roman" w:cs="Times New Roman"/>
          <w:color w:val="7030A0"/>
        </w:rPr>
      </w:pPr>
      <w:r>
        <w:rPr>
          <w:rFonts w:ascii="Times New Roman" w:hAnsi="Times New Roman" w:cs="Times New Roman"/>
          <w:bCs/>
          <w:color w:val="7030A0"/>
        </w:rPr>
        <w:t>We have analyzed 180 miRNAs together with their 538 target genes, and finally we obtained 28732 unique combined haplotype patterns; and also, for each combined pattern, we have generated the mutated RNA sequence of their mature miRNA and miRNA binding site in preparation for the next step analysis, and collected the lists of the corresponding cultivar index numbers searching through the local database;</w:t>
      </w:r>
    </w:p>
    <w:p w14:paraId="4D3DC31B" w14:textId="77777777" w:rsidR="001163CB" w:rsidRPr="00922549" w:rsidRDefault="001163CB" w:rsidP="001163CB">
      <w:pPr>
        <w:rPr>
          <w:rFonts w:ascii="Times New Roman" w:hAnsi="Times New Roman" w:cs="Times New Roman"/>
          <w:color w:val="7030A0"/>
        </w:rPr>
      </w:pPr>
    </w:p>
    <w:tbl>
      <w:tblPr>
        <w:tblW w:w="2368" w:type="dxa"/>
        <w:jc w:val="center"/>
        <w:tblLook w:val="04A0" w:firstRow="1" w:lastRow="0" w:firstColumn="1" w:lastColumn="0" w:noHBand="0" w:noVBand="1"/>
      </w:tblPr>
      <w:tblGrid>
        <w:gridCol w:w="1300"/>
        <w:gridCol w:w="1068"/>
      </w:tblGrid>
      <w:tr w:rsidR="001163CB" w14:paraId="27A6C978" w14:textId="77777777" w:rsidTr="00007127">
        <w:trPr>
          <w:trHeight w:val="557"/>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2C77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Length of Combined pattern</w:t>
            </w: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14:paraId="2F59EB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Number of Patterns</w:t>
            </w:r>
          </w:p>
        </w:tc>
      </w:tr>
      <w:tr w:rsidR="001163CB" w14:paraId="5378253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8BB80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w:t>
            </w:r>
          </w:p>
        </w:tc>
        <w:tc>
          <w:tcPr>
            <w:tcW w:w="1068" w:type="dxa"/>
            <w:tcBorders>
              <w:top w:val="nil"/>
              <w:left w:val="nil"/>
              <w:bottom w:val="single" w:sz="4" w:space="0" w:color="auto"/>
              <w:right w:val="single" w:sz="4" w:space="0" w:color="auto"/>
            </w:tcBorders>
            <w:shd w:val="clear" w:color="auto" w:fill="auto"/>
            <w:noWrap/>
            <w:vAlign w:val="center"/>
            <w:hideMark/>
          </w:tcPr>
          <w:p w14:paraId="3F2041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845</w:t>
            </w:r>
          </w:p>
        </w:tc>
      </w:tr>
      <w:tr w:rsidR="001163CB" w14:paraId="5E56BBB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386AB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w:t>
            </w:r>
          </w:p>
        </w:tc>
        <w:tc>
          <w:tcPr>
            <w:tcW w:w="1068" w:type="dxa"/>
            <w:tcBorders>
              <w:top w:val="nil"/>
              <w:left w:val="nil"/>
              <w:bottom w:val="single" w:sz="4" w:space="0" w:color="auto"/>
              <w:right w:val="single" w:sz="4" w:space="0" w:color="auto"/>
            </w:tcBorders>
            <w:shd w:val="clear" w:color="auto" w:fill="auto"/>
            <w:noWrap/>
            <w:vAlign w:val="center"/>
            <w:hideMark/>
          </w:tcPr>
          <w:p w14:paraId="666225F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144</w:t>
            </w:r>
          </w:p>
        </w:tc>
      </w:tr>
      <w:tr w:rsidR="001163CB" w14:paraId="3D53C708"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6C063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w:t>
            </w:r>
          </w:p>
        </w:tc>
        <w:tc>
          <w:tcPr>
            <w:tcW w:w="1068" w:type="dxa"/>
            <w:tcBorders>
              <w:top w:val="nil"/>
              <w:left w:val="nil"/>
              <w:bottom w:val="single" w:sz="4" w:space="0" w:color="auto"/>
              <w:right w:val="single" w:sz="4" w:space="0" w:color="auto"/>
            </w:tcBorders>
            <w:shd w:val="clear" w:color="auto" w:fill="auto"/>
            <w:noWrap/>
            <w:vAlign w:val="center"/>
            <w:hideMark/>
          </w:tcPr>
          <w:p w14:paraId="0B364DC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1541</w:t>
            </w:r>
          </w:p>
        </w:tc>
      </w:tr>
      <w:tr w:rsidR="001163CB" w14:paraId="252B25C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0746A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4</w:t>
            </w:r>
          </w:p>
        </w:tc>
        <w:tc>
          <w:tcPr>
            <w:tcW w:w="1068" w:type="dxa"/>
            <w:tcBorders>
              <w:top w:val="nil"/>
              <w:left w:val="nil"/>
              <w:bottom w:val="single" w:sz="4" w:space="0" w:color="auto"/>
              <w:right w:val="single" w:sz="4" w:space="0" w:color="auto"/>
            </w:tcBorders>
            <w:shd w:val="clear" w:color="auto" w:fill="auto"/>
            <w:noWrap/>
            <w:vAlign w:val="center"/>
            <w:hideMark/>
          </w:tcPr>
          <w:p w14:paraId="7C2EA98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1933</w:t>
            </w:r>
          </w:p>
        </w:tc>
      </w:tr>
      <w:tr w:rsidR="001163CB" w14:paraId="489D480E"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54BC2E"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5</w:t>
            </w:r>
          </w:p>
        </w:tc>
        <w:tc>
          <w:tcPr>
            <w:tcW w:w="1068" w:type="dxa"/>
            <w:tcBorders>
              <w:top w:val="nil"/>
              <w:left w:val="nil"/>
              <w:bottom w:val="single" w:sz="4" w:space="0" w:color="auto"/>
              <w:right w:val="single" w:sz="4" w:space="0" w:color="auto"/>
            </w:tcBorders>
            <w:shd w:val="clear" w:color="auto" w:fill="auto"/>
            <w:noWrap/>
            <w:vAlign w:val="center"/>
            <w:hideMark/>
          </w:tcPr>
          <w:p w14:paraId="64C3DA5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2471</w:t>
            </w:r>
          </w:p>
        </w:tc>
      </w:tr>
      <w:tr w:rsidR="001163CB" w14:paraId="2D33B0FB"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E20DE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6</w:t>
            </w:r>
          </w:p>
        </w:tc>
        <w:tc>
          <w:tcPr>
            <w:tcW w:w="1068" w:type="dxa"/>
            <w:tcBorders>
              <w:top w:val="nil"/>
              <w:left w:val="nil"/>
              <w:bottom w:val="single" w:sz="4" w:space="0" w:color="auto"/>
              <w:right w:val="single" w:sz="4" w:space="0" w:color="auto"/>
            </w:tcBorders>
            <w:shd w:val="clear" w:color="auto" w:fill="auto"/>
            <w:noWrap/>
            <w:vAlign w:val="center"/>
            <w:hideMark/>
          </w:tcPr>
          <w:p w14:paraId="7F3B9E4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2697</w:t>
            </w:r>
          </w:p>
        </w:tc>
      </w:tr>
      <w:tr w:rsidR="001163CB" w14:paraId="314FDE9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196706"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w:t>
            </w:r>
          </w:p>
        </w:tc>
        <w:tc>
          <w:tcPr>
            <w:tcW w:w="1068" w:type="dxa"/>
            <w:tcBorders>
              <w:top w:val="nil"/>
              <w:left w:val="nil"/>
              <w:bottom w:val="single" w:sz="4" w:space="0" w:color="auto"/>
              <w:right w:val="single" w:sz="4" w:space="0" w:color="auto"/>
            </w:tcBorders>
            <w:shd w:val="clear" w:color="auto" w:fill="auto"/>
            <w:noWrap/>
            <w:vAlign w:val="center"/>
            <w:hideMark/>
          </w:tcPr>
          <w:p w14:paraId="709222D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3011</w:t>
            </w:r>
          </w:p>
        </w:tc>
      </w:tr>
      <w:tr w:rsidR="001163CB" w14:paraId="4DE32773"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1AEEC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w:t>
            </w:r>
          </w:p>
        </w:tc>
        <w:tc>
          <w:tcPr>
            <w:tcW w:w="1068" w:type="dxa"/>
            <w:tcBorders>
              <w:top w:val="nil"/>
              <w:left w:val="nil"/>
              <w:bottom w:val="single" w:sz="4" w:space="0" w:color="auto"/>
              <w:right w:val="single" w:sz="4" w:space="0" w:color="auto"/>
            </w:tcBorders>
            <w:shd w:val="clear" w:color="auto" w:fill="auto"/>
            <w:noWrap/>
            <w:vAlign w:val="center"/>
            <w:hideMark/>
          </w:tcPr>
          <w:p w14:paraId="0447B47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2672</w:t>
            </w:r>
          </w:p>
        </w:tc>
      </w:tr>
      <w:tr w:rsidR="001163CB" w14:paraId="536DE21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6D480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9</w:t>
            </w:r>
          </w:p>
        </w:tc>
        <w:tc>
          <w:tcPr>
            <w:tcW w:w="1068" w:type="dxa"/>
            <w:tcBorders>
              <w:top w:val="nil"/>
              <w:left w:val="nil"/>
              <w:bottom w:val="single" w:sz="4" w:space="0" w:color="auto"/>
              <w:right w:val="single" w:sz="4" w:space="0" w:color="auto"/>
            </w:tcBorders>
            <w:shd w:val="clear" w:color="auto" w:fill="auto"/>
            <w:noWrap/>
            <w:vAlign w:val="center"/>
            <w:hideMark/>
          </w:tcPr>
          <w:p w14:paraId="61715244"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2494</w:t>
            </w:r>
          </w:p>
        </w:tc>
      </w:tr>
      <w:tr w:rsidR="001163CB" w14:paraId="4CE4AF04"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987F2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w:t>
            </w:r>
          </w:p>
        </w:tc>
        <w:tc>
          <w:tcPr>
            <w:tcW w:w="1068" w:type="dxa"/>
            <w:tcBorders>
              <w:top w:val="nil"/>
              <w:left w:val="nil"/>
              <w:bottom w:val="single" w:sz="4" w:space="0" w:color="auto"/>
              <w:right w:val="single" w:sz="4" w:space="0" w:color="auto"/>
            </w:tcBorders>
            <w:shd w:val="clear" w:color="auto" w:fill="auto"/>
            <w:noWrap/>
            <w:vAlign w:val="center"/>
            <w:hideMark/>
          </w:tcPr>
          <w:p w14:paraId="2F78EB3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1900</w:t>
            </w:r>
          </w:p>
        </w:tc>
      </w:tr>
      <w:tr w:rsidR="001163CB" w14:paraId="442095D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C1B06F7"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11</w:t>
            </w:r>
          </w:p>
        </w:tc>
        <w:tc>
          <w:tcPr>
            <w:tcW w:w="1068" w:type="dxa"/>
            <w:tcBorders>
              <w:top w:val="nil"/>
              <w:left w:val="nil"/>
              <w:bottom w:val="single" w:sz="4" w:space="0" w:color="auto"/>
              <w:right w:val="single" w:sz="4" w:space="0" w:color="auto"/>
            </w:tcBorders>
            <w:shd w:val="clear" w:color="auto" w:fill="auto"/>
            <w:noWrap/>
            <w:vAlign w:val="center"/>
            <w:hideMark/>
          </w:tcPr>
          <w:p w14:paraId="33E71BC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2311</w:t>
            </w:r>
          </w:p>
        </w:tc>
      </w:tr>
      <w:tr w:rsidR="001163CB" w14:paraId="7BDE86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21A4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12</w:t>
            </w:r>
          </w:p>
        </w:tc>
        <w:tc>
          <w:tcPr>
            <w:tcW w:w="1068" w:type="dxa"/>
            <w:tcBorders>
              <w:top w:val="nil"/>
              <w:left w:val="nil"/>
              <w:bottom w:val="single" w:sz="4" w:space="0" w:color="auto"/>
              <w:right w:val="single" w:sz="4" w:space="0" w:color="auto"/>
            </w:tcBorders>
            <w:shd w:val="clear" w:color="auto" w:fill="auto"/>
            <w:noWrap/>
            <w:vAlign w:val="center"/>
            <w:hideMark/>
          </w:tcPr>
          <w:p w14:paraId="72BA9B2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2367</w:t>
            </w:r>
          </w:p>
        </w:tc>
      </w:tr>
      <w:tr w:rsidR="001163CB" w14:paraId="63C7B5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2E62E5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13</w:t>
            </w:r>
          </w:p>
        </w:tc>
        <w:tc>
          <w:tcPr>
            <w:tcW w:w="1068" w:type="dxa"/>
            <w:tcBorders>
              <w:top w:val="nil"/>
              <w:left w:val="nil"/>
              <w:bottom w:val="single" w:sz="4" w:space="0" w:color="auto"/>
              <w:right w:val="single" w:sz="4" w:space="0" w:color="auto"/>
            </w:tcBorders>
            <w:shd w:val="clear" w:color="auto" w:fill="auto"/>
            <w:noWrap/>
            <w:vAlign w:val="center"/>
            <w:hideMark/>
          </w:tcPr>
          <w:p w14:paraId="738C2DD8"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1095</w:t>
            </w:r>
          </w:p>
        </w:tc>
      </w:tr>
      <w:tr w:rsidR="001163CB" w14:paraId="4D6F30D2"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96368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w:t>
            </w:r>
          </w:p>
        </w:tc>
        <w:tc>
          <w:tcPr>
            <w:tcW w:w="1068" w:type="dxa"/>
            <w:tcBorders>
              <w:top w:val="nil"/>
              <w:left w:val="nil"/>
              <w:bottom w:val="single" w:sz="4" w:space="0" w:color="auto"/>
              <w:right w:val="single" w:sz="4" w:space="0" w:color="auto"/>
            </w:tcBorders>
            <w:shd w:val="clear" w:color="auto" w:fill="auto"/>
            <w:noWrap/>
            <w:vAlign w:val="center"/>
            <w:hideMark/>
          </w:tcPr>
          <w:p w14:paraId="40B7276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748</w:t>
            </w:r>
          </w:p>
        </w:tc>
      </w:tr>
      <w:tr w:rsidR="001163CB" w14:paraId="3E4A1A6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B0CE0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w:t>
            </w:r>
          </w:p>
        </w:tc>
        <w:tc>
          <w:tcPr>
            <w:tcW w:w="1068" w:type="dxa"/>
            <w:tcBorders>
              <w:top w:val="nil"/>
              <w:left w:val="nil"/>
              <w:bottom w:val="single" w:sz="4" w:space="0" w:color="auto"/>
              <w:right w:val="single" w:sz="4" w:space="0" w:color="auto"/>
            </w:tcBorders>
            <w:shd w:val="clear" w:color="auto" w:fill="auto"/>
            <w:noWrap/>
            <w:vAlign w:val="center"/>
            <w:hideMark/>
          </w:tcPr>
          <w:p w14:paraId="42DD491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862</w:t>
            </w:r>
          </w:p>
        </w:tc>
      </w:tr>
      <w:tr w:rsidR="001163CB" w14:paraId="138177AF"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E39E7C"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16</w:t>
            </w:r>
          </w:p>
        </w:tc>
        <w:tc>
          <w:tcPr>
            <w:tcW w:w="1068" w:type="dxa"/>
            <w:tcBorders>
              <w:top w:val="nil"/>
              <w:left w:val="nil"/>
              <w:bottom w:val="single" w:sz="4" w:space="0" w:color="auto"/>
              <w:right w:val="single" w:sz="4" w:space="0" w:color="auto"/>
            </w:tcBorders>
            <w:shd w:val="clear" w:color="auto" w:fill="auto"/>
            <w:noWrap/>
            <w:vAlign w:val="center"/>
            <w:hideMark/>
          </w:tcPr>
          <w:p w14:paraId="2643D65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342</w:t>
            </w:r>
          </w:p>
        </w:tc>
      </w:tr>
    </w:tbl>
    <w:p w14:paraId="68D92606" w14:textId="77777777" w:rsidR="001163CB" w:rsidRPr="00984D07" w:rsidRDefault="001163CB" w:rsidP="001163CB">
      <w:pPr>
        <w:rPr>
          <w:rFonts w:ascii="Times New Roman" w:hAnsi="Times New Roman" w:cs="Times New Roman"/>
        </w:rPr>
      </w:pPr>
    </w:p>
    <w:p w14:paraId="6D94AFE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Interpret the haplotype pattern into different complementary patterns (just find out the position of the SNPs in the complementary patterns);</w:t>
      </w:r>
    </w:p>
    <w:p w14:paraId="7C2C6D08" w14:textId="77777777" w:rsidR="001163CB" w:rsidRPr="001163CB" w:rsidRDefault="001163CB" w:rsidP="001163CB">
      <w:pPr>
        <w:ind w:left="360"/>
        <w:rPr>
          <w:rFonts w:ascii="Times New Roman" w:hAnsi="Times New Roman" w:cs="Times New Roman"/>
          <w:b/>
          <w:bCs/>
          <w:i/>
          <w:iCs/>
          <w:color w:val="7030A0"/>
        </w:rPr>
      </w:pPr>
      <w:r w:rsidRPr="001163CB">
        <w:rPr>
          <w:rFonts w:ascii="Times New Roman" w:hAnsi="Times New Roman" w:cs="Times New Roman"/>
          <w:b/>
          <w:bCs/>
          <w:i/>
          <w:iCs/>
          <w:color w:val="7030A0"/>
        </w:rPr>
        <w:t xml:space="preserve">Note: </w:t>
      </w:r>
      <w:r w:rsidRPr="001163CB">
        <w:rPr>
          <w:rFonts w:ascii="Times New Roman" w:hAnsi="Times New Roman" w:cs="Times New Roman"/>
          <w:bCs/>
          <w:iCs/>
          <w:color w:val="7030A0"/>
        </w:rPr>
        <w:t>Transform the combined haplotype pattern into visualized complementarity pattern of mature miRNA and its binding site with genomic coordination of SNPs, mature miRNAs and target genes;</w:t>
      </w:r>
    </w:p>
    <w:p w14:paraId="4F5FB687" w14:textId="77777777" w:rsidR="001163CB" w:rsidRPr="001163CB" w:rsidRDefault="001163CB" w:rsidP="001163CB">
      <w:pPr>
        <w:pStyle w:val="ListParagraph"/>
        <w:ind w:left="360" w:firstLineChars="0" w:firstLine="0"/>
        <w:rPr>
          <w:rFonts w:ascii="Times New Roman" w:hAnsi="Times New Roman" w:cs="Times New Roman"/>
        </w:rPr>
      </w:pPr>
    </w:p>
    <w:p w14:paraId="25EA452B" w14:textId="77777777" w:rsidR="001163CB" w:rsidRPr="001163CB" w:rsidRDefault="001163CB" w:rsidP="001163CB">
      <w:pPr>
        <w:pStyle w:val="ListParagraph"/>
        <w:widowControl/>
        <w:numPr>
          <w:ilvl w:val="0"/>
          <w:numId w:val="17"/>
        </w:numPr>
        <w:ind w:left="360" w:firstLineChars="0" w:hanging="360"/>
        <w:jc w:val="left"/>
        <w:rPr>
          <w:rFonts w:ascii="Times New Roman" w:hAnsi="Times New Roman" w:cs="Times New Roman"/>
        </w:rPr>
      </w:pPr>
      <w:r w:rsidRPr="001163CB">
        <w:rPr>
          <w:rFonts w:ascii="Times New Roman" w:hAnsi="Times New Roman" w:cs="Times New Roman"/>
        </w:rPr>
        <w:t>Analysis into the results of combined complementarity analysis</w:t>
      </w:r>
    </w:p>
    <w:p w14:paraId="276C3A38"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Classify SNP effects on the complementarity pattern into 4 categories, namely: i. still mismatch (after the point mutation, the state of complementarity of the site remains mismatched); ii. mismatch to paired (the state of complementarity has turned from mismatch to pairing); iii. paired to mismatch (the site turned mismatch after the point mutation); iv. still paired (the state of complementarity remains paired);</w:t>
      </w:r>
    </w:p>
    <w:p w14:paraId="7E0247A3"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first category (still mismatch) is valueless in our study, so we’ll just skip this category;</w:t>
      </w:r>
    </w:p>
    <w:p w14:paraId="38833B7D" w14:textId="77777777" w:rsidR="001163CB" w:rsidRPr="001163CB" w:rsidRDefault="001163CB" w:rsidP="001163CB">
      <w:pPr>
        <w:ind w:left="960"/>
        <w:rPr>
          <w:rFonts w:ascii="Times New Roman" w:hAnsi="Times New Roman" w:cs="Times New Roman"/>
          <w:b/>
          <w:bCs/>
          <w:i/>
          <w:iCs/>
          <w:color w:val="7030A0"/>
        </w:rPr>
      </w:pPr>
    </w:p>
    <w:p w14:paraId="1D8E0D3E"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Result:</w:t>
      </w:r>
    </w:p>
    <w:p w14:paraId="6D9ECD66"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 xml:space="preserve">Still paired patterns: 179 patterns possess 181 positions, </w:t>
      </w:r>
    </w:p>
    <w:p w14:paraId="003AC602" w14:textId="77777777" w:rsidR="001163CB" w:rsidRPr="001163CB" w:rsidRDefault="001163CB" w:rsidP="001163CB">
      <w:pPr>
        <w:widowControl/>
        <w:numPr>
          <w:ilvl w:val="0"/>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Paired to mismatch: 13840 patterns with 19845 positions;</w:t>
      </w:r>
    </w:p>
    <w:p w14:paraId="69CAE941"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Mismatch to paired: 3979 patterns with 4431 positions;</w:t>
      </w:r>
    </w:p>
    <w:p w14:paraId="28635B1A" w14:textId="77777777" w:rsidR="001163CB" w:rsidRPr="001163CB" w:rsidRDefault="001163CB" w:rsidP="001163CB">
      <w:pPr>
        <w:rPr>
          <w:rFonts w:ascii="Times New Roman" w:hAnsi="Times New Roman" w:cs="Times New Roman"/>
        </w:rPr>
      </w:pPr>
    </w:p>
    <w:p w14:paraId="06AAB94F"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Deeper analysis into “Still paired patterns”</w:t>
      </w:r>
    </w:p>
    <w:p w14:paraId="5E93BC67"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This is a very intriguing phenomenon because both nucleotides of the same site in a complementarity pattern have mutated, and they still remain Watson-Crick pairing.</w:t>
      </w:r>
    </w:p>
    <w:p w14:paraId="64AF97CD" w14:textId="77777777" w:rsidR="001163CB" w:rsidRPr="001163CB" w:rsidRDefault="001163CB" w:rsidP="001163CB">
      <w:pPr>
        <w:ind w:left="960"/>
        <w:rPr>
          <w:rFonts w:ascii="Times New Roman" w:hAnsi="Times New Roman" w:cs="Times New Roman"/>
          <w:bCs/>
          <w:iCs/>
          <w:color w:val="7030A0"/>
        </w:rPr>
      </w:pPr>
    </w:p>
    <w:p w14:paraId="3F5F924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507A87FA" w14:textId="77777777" w:rsidR="001163CB" w:rsidRPr="001163CB" w:rsidRDefault="001163CB" w:rsidP="001163CB">
      <w:pPr>
        <w:widowControl/>
        <w:numPr>
          <w:ilvl w:val="3"/>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These 179 “still paired” patterns fall into 5 miRNA families: osa-miR1436, osa-miR1439, osa-miR1442, osa-miR1862b, osa-miR2275c, osa-miR818, osa-miR444;</w:t>
      </w:r>
    </w:p>
    <w:p w14:paraId="07BF5CC9" w14:textId="77777777" w:rsidR="001163CB" w:rsidRPr="001163CB" w:rsidRDefault="001163CB" w:rsidP="001163CB">
      <w:pPr>
        <w:rPr>
          <w:rFonts w:ascii="Times New Roman" w:hAnsi="Times New Roman" w:cs="Times New Roman"/>
          <w:bCs/>
          <w:iCs/>
          <w:color w:val="7030A0"/>
        </w:rPr>
      </w:pPr>
    </w:p>
    <w:p w14:paraId="5357522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Conclusion:</w:t>
      </w:r>
    </w:p>
    <w:p w14:paraId="57F67DED"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reason why this kind of pattern appears in osa-miR444 can be explained by mechanism of the anti-sense miRNAs in this family, which means the mature miRNA gene is in the anti-sense strand of its targeting gene and any SNP appear in this genomic region would surely change the both nucleotides and they would surely remain paired;</w:t>
      </w:r>
    </w:p>
    <w:p w14:paraId="2649C0F2"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 xml:space="preserve">The other 4 miRNA families (including osa-miR1436, osa-miR1439, osa-miR1442, osa-miR1862b) are in fact grouped into the same miRNA family by </w:t>
      </w:r>
      <w:r w:rsidRPr="001163CB">
        <w:rPr>
          <w:rFonts w:ascii="Times New Roman" w:hAnsi="Times New Roman" w:cs="Times New Roman"/>
          <w:bCs/>
          <w:i/>
          <w:iCs/>
          <w:color w:val="7030A0"/>
          <w:u w:val="single"/>
        </w:rPr>
        <w:t>miRBase.org</w:t>
      </w:r>
      <w:r w:rsidRPr="001163CB">
        <w:rPr>
          <w:rFonts w:ascii="Times New Roman" w:hAnsi="Times New Roman" w:cs="Times New Roman"/>
          <w:bCs/>
          <w:iCs/>
          <w:color w:val="7030A0"/>
        </w:rPr>
        <w:t>, which is called MIR818 family. This piece of information added to the mystery of the phenomenon;</w:t>
      </w:r>
    </w:p>
    <w:p w14:paraId="767BC134" w14:textId="1AAF0206"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former phenomenon can be partly explained by the large number of SNPs found within the mature miRNAs and their miRNA binding sites. (ps. They possess 6-7 SNPs averagely). The top 5 frequent</w:t>
      </w:r>
      <w:r w:rsidR="0033259D">
        <w:rPr>
          <w:rFonts w:ascii="Times New Roman" w:hAnsi="Times New Roman" w:cs="Times New Roman"/>
          <w:bCs/>
          <w:iCs/>
          <w:color w:val="7030A0"/>
        </w:rPr>
        <w:t xml:space="preserve"> sites that possess the “still </w:t>
      </w:r>
      <w:r w:rsidRPr="001163CB">
        <w:rPr>
          <w:rFonts w:ascii="Times New Roman" w:hAnsi="Times New Roman" w:cs="Times New Roman"/>
          <w:bCs/>
          <w:iCs/>
          <w:color w:val="7030A0"/>
        </w:rPr>
        <w:t>paired” mutations are site2, site5, site20, site18 and site16.</w:t>
      </w:r>
    </w:p>
    <w:p w14:paraId="1F193148" w14:textId="77777777" w:rsidR="00EC40AC" w:rsidRPr="00EC40AC" w:rsidRDefault="00EC40AC" w:rsidP="00EC40AC">
      <w:pPr>
        <w:widowControl/>
        <w:jc w:val="left"/>
        <w:rPr>
          <w:rFonts w:ascii="Times New Roman" w:hAnsi="Times New Roman" w:cs="Times New Roman"/>
        </w:rPr>
      </w:pPr>
    </w:p>
    <w:p w14:paraId="04AFD810"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Analyze 5 well-studied miRNA families</w:t>
      </w:r>
    </w:p>
    <w:p w14:paraId="69008E24"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5 well-studied miRNA families are osa-miR156, osa-miR444, osa-miR172, osa-miR159, osa-miR397;</w:t>
      </w:r>
    </w:p>
    <w:p w14:paraId="5559DAFC"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Cs/>
          <w:iCs/>
          <w:color w:val="7030A0"/>
        </w:rPr>
        <w:t>Except osa-miR444, the miRNA family members are highly similar among each another in the other 4 miRNA families.</w:t>
      </w:r>
    </w:p>
    <w:p w14:paraId="7332E291" w14:textId="5E907D5A" w:rsidR="001163CB" w:rsidRDefault="001163CB" w:rsidP="001163CB">
      <w:pPr>
        <w:pStyle w:val="ListParagraph"/>
        <w:widowControl/>
        <w:numPr>
          <w:ilvl w:val="2"/>
          <w:numId w:val="17"/>
        </w:numPr>
        <w:ind w:left="1021" w:firstLineChars="0" w:firstLine="0"/>
        <w:jc w:val="left"/>
        <w:rPr>
          <w:rFonts w:ascii="Times New Roman" w:hAnsi="Times New Roman" w:cs="Times New Roman"/>
        </w:rPr>
      </w:pPr>
      <w:r w:rsidRPr="001163CB">
        <w:rPr>
          <w:rFonts w:ascii="Times New Roman" w:hAnsi="Times New Roman" w:cs="Times New Roman"/>
        </w:rPr>
        <w:t>Multifold Combined Complementarity Analysis</w:t>
      </w:r>
      <w:r w:rsidR="00EA5DDE">
        <w:rPr>
          <w:rFonts w:ascii="Times New Roman" w:hAnsi="Times New Roman" w:cs="Times New Roman"/>
        </w:rPr>
        <w:t xml:space="preserve"> (MCCA)</w:t>
      </w:r>
      <w:r w:rsidRPr="001163CB">
        <w:rPr>
          <w:rFonts w:ascii="Times New Roman" w:hAnsi="Times New Roman" w:cs="Times New Roman"/>
        </w:rPr>
        <w:t xml:space="preserve"> into 5 miRNA families</w:t>
      </w:r>
    </w:p>
    <w:p w14:paraId="6BD4B131" w14:textId="468BB06F" w:rsidR="00EA5DDE" w:rsidRDefault="00EA5DDE" w:rsidP="00EA5DDE">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Detailed description about MCCA can be found at Appendix IV;</w:t>
      </w:r>
    </w:p>
    <w:p w14:paraId="54E6A09B" w14:textId="77777777" w:rsidR="00D10F59" w:rsidRPr="001163CB" w:rsidRDefault="00D10F59" w:rsidP="00D10F59">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2EAC3127" w14:textId="13C31163" w:rsidR="00D10F59" w:rsidRDefault="00D10F59"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 xml:space="preserve">In osa-miR156 family, 7 haplotype patterns have been discovered and </w:t>
      </w:r>
      <w:r w:rsidR="00F44E4E">
        <w:rPr>
          <w:rFonts w:ascii="Times New Roman" w:hAnsi="Times New Roman" w:cs="Times New Roman"/>
          <w:bCs/>
          <w:iCs/>
          <w:color w:val="7030A0"/>
        </w:rPr>
        <w:t>each</w:t>
      </w:r>
      <w:r>
        <w:rPr>
          <w:rFonts w:ascii="Times New Roman" w:hAnsi="Times New Roman" w:cs="Times New Roman"/>
          <w:bCs/>
          <w:iCs/>
          <w:color w:val="7030A0"/>
        </w:rPr>
        <w:t xml:space="preserve"> pattern consist</w:t>
      </w:r>
      <w:r w:rsidR="00F44E4E">
        <w:rPr>
          <w:rFonts w:ascii="Times New Roman" w:hAnsi="Times New Roman" w:cs="Times New Roman"/>
          <w:bCs/>
          <w:iCs/>
          <w:color w:val="7030A0"/>
        </w:rPr>
        <w:t>s</w:t>
      </w:r>
      <w:r>
        <w:rPr>
          <w:rFonts w:ascii="Times New Roman" w:hAnsi="Times New Roman" w:cs="Times New Roman"/>
          <w:bCs/>
          <w:iCs/>
          <w:color w:val="7030A0"/>
        </w:rPr>
        <w:t xml:space="preserve"> </w:t>
      </w:r>
      <w:r w:rsidR="00F44E4E">
        <w:rPr>
          <w:rFonts w:ascii="Times New Roman" w:hAnsi="Times New Roman" w:cs="Times New Roman"/>
          <w:bCs/>
          <w:iCs/>
          <w:color w:val="7030A0"/>
        </w:rPr>
        <w:t>of</w:t>
      </w:r>
      <w:r>
        <w:rPr>
          <w:rFonts w:ascii="Times New Roman" w:hAnsi="Times New Roman" w:cs="Times New Roman"/>
          <w:bCs/>
          <w:iCs/>
          <w:color w:val="7030A0"/>
        </w:rPr>
        <w:t xml:space="preserve"> only one point mutation, out of which 5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miRNAs and 2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target genes. A SNP in osa-miR156c-5p caused a mismatch at site 11, w</w:t>
      </w:r>
      <w:r w:rsidR="00F44E4E">
        <w:rPr>
          <w:rFonts w:ascii="Times New Roman" w:hAnsi="Times New Roman" w:cs="Times New Roman"/>
          <w:bCs/>
          <w:iCs/>
          <w:color w:val="7030A0"/>
        </w:rPr>
        <w:t>hich may potential have big impact on the regulation and should be noticed;</w:t>
      </w:r>
    </w:p>
    <w:p w14:paraId="58E4A7DE" w14:textId="09B1818B"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In osa-miR172 family, 3 haplotype patterns have been discovered and each pattern consists of only one point mutation, and they all fall onto the miRNAs;</w:t>
      </w:r>
    </w:p>
    <w:p w14:paraId="79C358E8" w14:textId="6AA187CA"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But for osa-miR159 family and osa-miR397 family, no haplotype patterns have been found;</w:t>
      </w:r>
    </w:p>
    <w:p w14:paraId="5D38E477" w14:textId="50599FD9" w:rsidR="00F44E4E" w:rsidRDefault="00F44E4E" w:rsidP="00F44E4E">
      <w:pPr>
        <w:pStyle w:val="ListParagraph"/>
        <w:widowControl/>
        <w:numPr>
          <w:ilvl w:val="2"/>
          <w:numId w:val="17"/>
        </w:numPr>
        <w:ind w:left="1021" w:firstLineChars="0" w:firstLine="0"/>
        <w:jc w:val="left"/>
        <w:rPr>
          <w:rFonts w:ascii="Times New Roman" w:hAnsi="Times New Roman" w:cs="Times New Roman"/>
        </w:rPr>
      </w:pPr>
      <w:r>
        <w:rPr>
          <w:rFonts w:ascii="Times New Roman" w:hAnsi="Times New Roman" w:cs="Times New Roman"/>
        </w:rPr>
        <w:t>SNP effects on protein-coding target genes of the miRNAs under study</w:t>
      </w:r>
    </w:p>
    <w:p w14:paraId="5675B2B7" w14:textId="77777777" w:rsidR="00F44E4E" w:rsidRPr="001163CB" w:rsidRDefault="00F44E4E" w:rsidP="00F44E4E">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00BFA15A"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osa-miR444 family target genes</w:t>
      </w:r>
    </w:p>
    <w:p w14:paraId="529DB9AF" w14:textId="72854384"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OsMADs57 (</w:t>
      </w:r>
      <w:r w:rsidR="00F44E4E" w:rsidRPr="00E32397">
        <w:rPr>
          <w:rFonts w:ascii="Times New Roman" w:hAnsi="Times New Roman" w:cs="Times New Roman"/>
          <w:bCs/>
          <w:iCs/>
          <w:color w:val="7030A0"/>
          <w:sz w:val="21"/>
        </w:rPr>
        <w:t>LOC_Os02g49840</w:t>
      </w:r>
      <w:r>
        <w:rPr>
          <w:rFonts w:ascii="Times New Roman" w:hAnsi="Times New Roman" w:cs="Times New Roman"/>
          <w:bCs/>
          <w:iCs/>
          <w:color w:val="7030A0"/>
          <w:sz w:val="21"/>
        </w:rPr>
        <w:t>)</w:t>
      </w:r>
    </w:p>
    <w:p w14:paraId="07E94D10" w14:textId="398EEF2A"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w:t>
      </w:r>
      <w:r w:rsidR="00E32397">
        <w:rPr>
          <w:rFonts w:ascii="Times New Roman" w:hAnsi="Times New Roman" w:cs="Times New Roman"/>
          <w:bCs/>
          <w:iCs/>
          <w:color w:val="7030A0"/>
          <w:sz w:val="21"/>
        </w:rPr>
        <w:t xml:space="preserve">230461208——Gln97Gln, synonymous </w:t>
      </w:r>
      <w:r w:rsidRPr="00E32397">
        <w:rPr>
          <w:rFonts w:ascii="Times New Roman" w:hAnsi="Times New Roman" w:cs="Times New Roman"/>
          <w:bCs/>
          <w:iCs/>
          <w:color w:val="7030A0"/>
          <w:sz w:val="21"/>
        </w:rPr>
        <w:t>variant</w:t>
      </w:r>
    </w:p>
    <w:p w14:paraId="1C3E1FA1" w14:textId="500D55D1"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10230461213——Leu99Gln, missense </w:t>
      </w:r>
      <w:r w:rsidR="00F44E4E" w:rsidRPr="00E32397">
        <w:rPr>
          <w:rFonts w:ascii="Times New Roman" w:hAnsi="Times New Roman" w:cs="Times New Roman"/>
          <w:bCs/>
          <w:iCs/>
          <w:color w:val="7030A0"/>
          <w:sz w:val="21"/>
        </w:rPr>
        <w:t>variant</w:t>
      </w:r>
    </w:p>
    <w:p w14:paraId="16501B8A" w14:textId="24E1F79C"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0230461236——Lys107Gln, missense </w:t>
      </w:r>
      <w:r w:rsidRPr="00E32397">
        <w:rPr>
          <w:rFonts w:ascii="Times New Roman" w:hAnsi="Times New Roman" w:cs="Times New Roman"/>
          <w:bCs/>
          <w:iCs/>
          <w:color w:val="7030A0"/>
          <w:sz w:val="21"/>
        </w:rPr>
        <w:t>variant</w:t>
      </w:r>
    </w:p>
    <w:p w14:paraId="1A3D2B84" w14:textId="70BC2A18"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OsMADs27 (</w:t>
      </w:r>
      <w:r w:rsidR="00F44E4E" w:rsidRPr="00E32397">
        <w:rPr>
          <w:rFonts w:ascii="Times New Roman" w:hAnsi="Times New Roman" w:cs="Times New Roman"/>
          <w:bCs/>
          <w:iCs/>
          <w:color w:val="7030A0"/>
          <w:sz w:val="21"/>
        </w:rPr>
        <w:t>LOC_Os02g36924</w:t>
      </w:r>
      <w:r>
        <w:rPr>
          <w:rFonts w:ascii="Times New Roman" w:hAnsi="Times New Roman" w:cs="Times New Roman"/>
          <w:bCs/>
          <w:iCs/>
          <w:color w:val="7030A0"/>
          <w:sz w:val="21"/>
        </w:rPr>
        <w:t>)</w:t>
      </w:r>
    </w:p>
    <w:p w14:paraId="37BB2B24" w14:textId="691E9A99"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10222300431——Ala93Val, </w:t>
      </w:r>
      <w:r w:rsidR="00E32397">
        <w:rPr>
          <w:rFonts w:ascii="Times New Roman" w:hAnsi="Times New Roman" w:cs="Times New Roman"/>
          <w:bCs/>
          <w:iCs/>
          <w:color w:val="7030A0"/>
          <w:sz w:val="21"/>
        </w:rPr>
        <w:t xml:space="preserve">missense </w:t>
      </w:r>
      <w:r w:rsidRPr="00E32397">
        <w:rPr>
          <w:rFonts w:ascii="Times New Roman" w:hAnsi="Times New Roman" w:cs="Times New Roman"/>
          <w:bCs/>
          <w:iCs/>
          <w:color w:val="7030A0"/>
          <w:sz w:val="21"/>
        </w:rPr>
        <w:t>variant</w:t>
      </w:r>
    </w:p>
    <w:p w14:paraId="2272C2CC" w14:textId="4ED20539"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10222300448——Gln99Lys, missense </w:t>
      </w:r>
      <w:r w:rsidR="00F44E4E" w:rsidRPr="00E32397">
        <w:rPr>
          <w:rFonts w:ascii="Times New Roman" w:hAnsi="Times New Roman" w:cs="Times New Roman"/>
          <w:bCs/>
          <w:iCs/>
          <w:color w:val="7030A0"/>
          <w:sz w:val="21"/>
        </w:rPr>
        <w:t>variant</w:t>
      </w:r>
    </w:p>
    <w:p w14:paraId="27A7C0DC" w14:textId="77777777"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OsMADs23 LOC_Os08g33488</w:t>
      </w:r>
    </w:p>
    <w:p w14:paraId="699E8CF7" w14:textId="4B16A4DE"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10820899277——Gln98Arg, missense </w:t>
      </w:r>
      <w:r w:rsidR="00F44E4E" w:rsidRPr="00E32397">
        <w:rPr>
          <w:rFonts w:ascii="Times New Roman" w:hAnsi="Times New Roman" w:cs="Times New Roman"/>
          <w:bCs/>
          <w:iCs/>
          <w:color w:val="7030A0"/>
          <w:sz w:val="21"/>
        </w:rPr>
        <w:t>variant</w:t>
      </w:r>
    </w:p>
    <w:p w14:paraId="0292BFCB" w14:textId="59FBA4EB"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10820899283——Leu96Ser, missense </w:t>
      </w:r>
      <w:r w:rsidR="00F44E4E" w:rsidRPr="00E32397">
        <w:rPr>
          <w:rFonts w:ascii="Times New Roman" w:hAnsi="Times New Roman" w:cs="Times New Roman"/>
          <w:bCs/>
          <w:iCs/>
          <w:color w:val="7030A0"/>
          <w:sz w:val="21"/>
        </w:rPr>
        <w:t>variant</w:t>
      </w:r>
    </w:p>
    <w:p w14:paraId="52D47CFA" w14:textId="6B7EDA58"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10820899289——Ala94Gly, missense </w:t>
      </w:r>
      <w:r w:rsidR="00F44E4E" w:rsidRPr="00E32397">
        <w:rPr>
          <w:rFonts w:ascii="Times New Roman" w:hAnsi="Times New Roman" w:cs="Times New Roman"/>
          <w:bCs/>
          <w:iCs/>
          <w:color w:val="7030A0"/>
          <w:sz w:val="21"/>
        </w:rPr>
        <w:t>variant</w:t>
      </w:r>
    </w:p>
    <w:p w14:paraId="3CCB5F6F" w14:textId="77777777" w:rsidR="00F44E4E" w:rsidRPr="00E32397" w:rsidRDefault="00F44E4E" w:rsidP="00E32397">
      <w:pPr>
        <w:widowControl/>
        <w:ind w:left="1260"/>
        <w:jc w:val="left"/>
        <w:rPr>
          <w:rFonts w:ascii="Times New Roman" w:hAnsi="Times New Roman" w:cs="Times New Roman"/>
          <w:bCs/>
          <w:iCs/>
          <w:color w:val="7030A0"/>
          <w:sz w:val="21"/>
        </w:rPr>
      </w:pPr>
    </w:p>
    <w:p w14:paraId="61190348"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osa-miR156 family target genes</w:t>
      </w:r>
    </w:p>
    <w:p w14:paraId="179FD8D2" w14:textId="2853266A"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 xml:space="preserve">OsSPL13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LOC_Os07g32170</w:t>
      </w:r>
      <w:r w:rsidR="00E32397">
        <w:rPr>
          <w:rFonts w:ascii="Times New Roman" w:hAnsi="Times New Roman" w:cs="Times New Roman"/>
          <w:bCs/>
          <w:iCs/>
          <w:color w:val="7030A0"/>
          <w:sz w:val="21"/>
        </w:rPr>
        <w:t>)</w:t>
      </w:r>
    </w:p>
    <w:p w14:paraId="6A4DA6D6"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10719100460, 10719100463——3_prime_UTR_variant</w:t>
      </w:r>
    </w:p>
    <w:p w14:paraId="40064293" w14:textId="1E9B4C13"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OsSPL18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LOC_Os09g32944</w:t>
      </w:r>
      <w:r w:rsidR="00E32397">
        <w:rPr>
          <w:rFonts w:ascii="Times New Roman" w:hAnsi="Times New Roman" w:cs="Times New Roman"/>
          <w:bCs/>
          <w:iCs/>
          <w:color w:val="7030A0"/>
          <w:sz w:val="21"/>
        </w:rPr>
        <w:t>)</w:t>
      </w:r>
    </w:p>
    <w:p w14:paraId="4B34CB48" w14:textId="790E92FB"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0919647853——Leu347Phe, missense </w:t>
      </w:r>
      <w:r w:rsidRPr="00E32397">
        <w:rPr>
          <w:rFonts w:ascii="Times New Roman" w:hAnsi="Times New Roman" w:cs="Times New Roman"/>
          <w:bCs/>
          <w:iCs/>
          <w:color w:val="7030A0"/>
          <w:sz w:val="21"/>
        </w:rPr>
        <w:t>variant</w:t>
      </w:r>
    </w:p>
    <w:p w14:paraId="436766BE"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10919647862——Leu350Leu, synonymous</w:t>
      </w:r>
    </w:p>
    <w:p w14:paraId="70DD5BD7" w14:textId="77777777" w:rsidR="00F44E4E" w:rsidRPr="00E32397" w:rsidRDefault="00F44E4E" w:rsidP="00E32397">
      <w:pPr>
        <w:widowControl/>
        <w:ind w:left="1260"/>
        <w:jc w:val="left"/>
        <w:rPr>
          <w:rFonts w:ascii="Times New Roman" w:hAnsi="Times New Roman" w:cs="Times New Roman"/>
          <w:bCs/>
          <w:iCs/>
          <w:color w:val="7030A0"/>
          <w:sz w:val="21"/>
        </w:rPr>
      </w:pPr>
    </w:p>
    <w:p w14:paraId="7719389E"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osa-miR397 family target gene</w:t>
      </w:r>
    </w:p>
    <w:p w14:paraId="1D9E0CCC" w14:textId="0388056C" w:rsidR="00F44E4E" w:rsidRPr="00E32397" w:rsidRDefault="00EC40AC"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LOC_Os12g15680 </w:t>
      </w:r>
      <w:r w:rsidR="00F44E4E" w:rsidRPr="00E32397">
        <w:rPr>
          <w:rFonts w:ascii="Times New Roman" w:hAnsi="Times New Roman" w:cs="Times New Roman"/>
          <w:bCs/>
          <w:iCs/>
          <w:color w:val="7030A0"/>
          <w:sz w:val="21"/>
        </w:rPr>
        <w:t>laccase precursor protein</w:t>
      </w:r>
    </w:p>
    <w:p w14:paraId="535DAA47" w14:textId="559FC836" w:rsidR="00F44E4E" w:rsidRPr="00E32397" w:rsidRDefault="00F44E4E" w:rsidP="00E32397">
      <w:pPr>
        <w:widowControl/>
        <w:numPr>
          <w:ilvl w:val="1"/>
          <w:numId w:val="35"/>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112</w:t>
      </w:r>
      <w:r w:rsidR="00E32397">
        <w:rPr>
          <w:rFonts w:ascii="Times New Roman" w:hAnsi="Times New Roman" w:cs="Times New Roman"/>
          <w:bCs/>
          <w:iCs/>
          <w:color w:val="7030A0"/>
          <w:sz w:val="21"/>
        </w:rPr>
        <w:t xml:space="preserve">08962185——Ala249Ala, synonymous </w:t>
      </w:r>
      <w:r w:rsidRPr="00E32397">
        <w:rPr>
          <w:rFonts w:ascii="Times New Roman" w:hAnsi="Times New Roman" w:cs="Times New Roman"/>
          <w:bCs/>
          <w:iCs/>
          <w:color w:val="7030A0"/>
          <w:sz w:val="21"/>
        </w:rPr>
        <w:t>variant</w:t>
      </w:r>
    </w:p>
    <w:p w14:paraId="6A307CAD" w14:textId="77777777" w:rsidR="00EC40AC" w:rsidRPr="00EC40AC" w:rsidRDefault="00EC40AC" w:rsidP="00EC40AC">
      <w:pPr>
        <w:widowControl/>
        <w:jc w:val="left"/>
        <w:rPr>
          <w:rFonts w:ascii="Times New Roman" w:hAnsi="Times New Roman" w:cs="Times New Roman"/>
        </w:rPr>
      </w:pPr>
    </w:p>
    <w:p w14:paraId="62040C52" w14:textId="00201774" w:rsidR="00F44E4E" w:rsidRDefault="00EC40AC" w:rsidP="00EC40AC">
      <w:pPr>
        <w:pStyle w:val="ListParagraph"/>
        <w:widowControl/>
        <w:numPr>
          <w:ilvl w:val="1"/>
          <w:numId w:val="17"/>
        </w:numPr>
        <w:ind w:left="839" w:firstLineChars="0" w:hanging="357"/>
        <w:jc w:val="left"/>
        <w:rPr>
          <w:rFonts w:ascii="Times New Roman" w:hAnsi="Times New Roman" w:cs="Times New Roman"/>
        </w:rPr>
      </w:pPr>
      <w:r>
        <w:rPr>
          <w:rFonts w:ascii="Times New Roman" w:hAnsi="Times New Roman" w:cs="Times New Roman"/>
        </w:rPr>
        <w:t>Analyze the phenotypes of rice cultivars to find out the effects of haplotype patterns on phenotypes</w:t>
      </w:r>
    </w:p>
    <w:p w14:paraId="27F1BE59" w14:textId="4BFDDF69" w:rsidR="00EC40AC" w:rsidRDefault="001C3FAF" w:rsidP="00EC40AC">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Download all the descriptive phenotypes from the Rice SNP-Seek Database (</w:t>
      </w:r>
      <w:hyperlink r:id="rId8" w:history="1">
        <w:r w:rsidRPr="001C3FAF">
          <w:rPr>
            <w:rStyle w:val="Hyperlink"/>
            <w:rFonts w:ascii="Times New Roman" w:hAnsi="Times New Roman" w:cs="Times New Roman"/>
            <w:i/>
          </w:rPr>
          <w:t>http://oryzasnp.org/iric-portal/_variety.zul</w:t>
        </w:r>
      </w:hyperlink>
      <w:r>
        <w:rPr>
          <w:rFonts w:ascii="Times New Roman" w:hAnsi="Times New Roman" w:cs="Times New Roman"/>
        </w:rPr>
        <w:t>) of all the 3024 rice cultivars;</w:t>
      </w:r>
    </w:p>
    <w:p w14:paraId="49C2A9EE" w14:textId="7F7B4C86" w:rsidR="001C3FAF" w:rsidRPr="00EC40AC" w:rsidRDefault="001C3FAF" w:rsidP="00EC40AC">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Compare the cultivars of each haplotype pattern with the reference pattern to see if there is some statistical significance between them, and to find out if there is some connections between the haplotype pattern and phenotypes</w:t>
      </w:r>
    </w:p>
    <w:p w14:paraId="26B76843" w14:textId="77777777" w:rsidR="004A0171" w:rsidRDefault="004A0171" w:rsidP="001C3FAF">
      <w:pPr>
        <w:rPr>
          <w:rFonts w:ascii="Times New Roman" w:hAnsi="Times New Roman" w:cs="Times New Roman"/>
        </w:rPr>
      </w:pPr>
    </w:p>
    <w:p w14:paraId="65278FEE" w14:textId="77777777" w:rsidR="004A0171" w:rsidRPr="007933E0" w:rsidRDefault="004A0171" w:rsidP="004A0171">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9E1BFC6" w14:textId="12EE31FD" w:rsidR="004A0171" w:rsidRDefault="001C3FAF" w:rsidP="004A0171">
      <w:pPr>
        <w:rPr>
          <w:rFonts w:ascii="Times New Roman" w:hAnsi="Times New Roman" w:cs="Times New Roman"/>
        </w:rPr>
      </w:pPr>
      <w:r>
        <w:rPr>
          <w:rFonts w:ascii="Times New Roman" w:hAnsi="Times New Roman" w:cs="Times New Roman"/>
        </w:rPr>
        <w:t>Upcoming plans:</w:t>
      </w:r>
    </w:p>
    <w:p w14:paraId="654E9670" w14:textId="2456AE51" w:rsidR="001C3FAF" w:rsidRDefault="001C3FAF" w:rsidP="001C3FAF">
      <w:pPr>
        <w:pStyle w:val="ListParagraph"/>
        <w:numPr>
          <w:ilvl w:val="0"/>
          <w:numId w:val="37"/>
        </w:numPr>
        <w:ind w:firstLineChars="0"/>
        <w:rPr>
          <w:rFonts w:ascii="Times New Roman" w:hAnsi="Times New Roman" w:cs="Times New Roman"/>
        </w:rPr>
      </w:pPr>
      <w:r>
        <w:rPr>
          <w:rFonts w:ascii="Times New Roman" w:hAnsi="Times New Roman" w:cs="Times New Roman"/>
        </w:rPr>
        <w:t xml:space="preserve">Collect reported phenotypes that </w:t>
      </w:r>
      <w:r w:rsidR="00065051">
        <w:rPr>
          <w:rFonts w:ascii="Times New Roman" w:hAnsi="Times New Roman" w:cs="Times New Roman"/>
        </w:rPr>
        <w:t>the 5 well-studied miRNAs can have effects on and analyze them aided by the haplotype pattern information;</w:t>
      </w:r>
    </w:p>
    <w:p w14:paraId="6D6705CE" w14:textId="7EFEA33D" w:rsidR="00065051" w:rsidRDefault="00065051" w:rsidP="001C3FAF">
      <w:pPr>
        <w:pStyle w:val="ListParagraph"/>
        <w:numPr>
          <w:ilvl w:val="0"/>
          <w:numId w:val="37"/>
        </w:numPr>
        <w:ind w:firstLineChars="0"/>
        <w:rPr>
          <w:rFonts w:ascii="Times New Roman" w:hAnsi="Times New Roman" w:cs="Times New Roman"/>
        </w:rPr>
      </w:pPr>
      <w:r>
        <w:rPr>
          <w:rFonts w:ascii="Times New Roman" w:hAnsi="Times New Roman" w:cs="Times New Roman"/>
        </w:rPr>
        <w:t>Draw the distribution of SNPs in the flanking regions of precursor miRNAs;</w:t>
      </w:r>
    </w:p>
    <w:p w14:paraId="2C6A2448" w14:textId="79437B32" w:rsidR="00065051" w:rsidRPr="001C3FAF" w:rsidRDefault="00065051" w:rsidP="001C3FAF">
      <w:pPr>
        <w:pStyle w:val="ListParagraph"/>
        <w:numPr>
          <w:ilvl w:val="0"/>
          <w:numId w:val="37"/>
        </w:numPr>
        <w:ind w:firstLineChars="0"/>
        <w:rPr>
          <w:rFonts w:ascii="Times New Roman" w:hAnsi="Times New Roman" w:cs="Times New Roman"/>
        </w:rPr>
      </w:pPr>
      <w:r>
        <w:rPr>
          <w:rFonts w:ascii="Times New Roman" w:hAnsi="Times New Roman" w:cs="Times New Roman"/>
        </w:rPr>
        <w:t>Find a rational genomic region (such as house-keeping gene) as the control to compare with the distribution of SNPs of miRNAs;</w:t>
      </w:r>
    </w:p>
    <w:p w14:paraId="7486F8CD" w14:textId="77777777" w:rsidR="004A0171" w:rsidRDefault="004A0171" w:rsidP="004A0171">
      <w:pPr>
        <w:rPr>
          <w:rFonts w:ascii="Times New Roman" w:hAnsi="Times New Roman" w:cs="Times New Roman"/>
        </w:rPr>
      </w:pPr>
      <w:bookmarkStart w:id="0" w:name="_GoBack"/>
      <w:bookmarkEnd w:id="0"/>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206BB0D4"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r w:rsidR="00D10F59" w:rsidRPr="00947ABA">
        <w:rPr>
          <w:rFonts w:ascii="Times New Roman" w:hAnsi="Times New Roman" w:cs="Times New Roman"/>
          <w:sz w:val="21"/>
        </w:rPr>
        <w:t>alleles (</w:t>
      </w:r>
      <w:r w:rsidRPr="00947ABA">
        <w:rPr>
          <w:rFonts w:ascii="Times New Roman" w:hAnsi="Times New Roman" w:cs="Times New Roman"/>
          <w:sz w:val="21"/>
        </w:rPr>
        <w:t>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6921D0E9" w14:textId="5AAE7AE5"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sidR="004E4A08">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6637359C" w14:textId="06D653F0" w:rsidR="001163CB" w:rsidRPr="00947ABA" w:rsidRDefault="001163CB" w:rsidP="001163CB">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3</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III</w:t>
      </w:r>
      <w:r w:rsidRPr="00947ABA">
        <w:rPr>
          <w:rFonts w:ascii="Times New Roman" w:hAnsi="Times New Roman" w:cs="Times New Roman"/>
          <w:b/>
        </w:rPr>
        <w:fldChar w:fldCharType="end"/>
      </w:r>
    </w:p>
    <w:p w14:paraId="6F109C67" w14:textId="1E480D4B" w:rsidR="001163CB" w:rsidRPr="00947ABA" w:rsidRDefault="006C4C23" w:rsidP="001163CB">
      <w:pPr>
        <w:rPr>
          <w:rFonts w:ascii="Times New Roman" w:hAnsi="Times New Roman" w:cs="Times New Roman"/>
          <w:sz w:val="21"/>
        </w:rPr>
      </w:pPr>
      <w:r>
        <w:rPr>
          <w:rFonts w:ascii="Times New Roman" w:hAnsi="Times New Roman" w:cs="Times New Roman"/>
          <w:b/>
          <w:bCs/>
          <w:sz w:val="21"/>
        </w:rPr>
        <w:t xml:space="preserve">Combined </w:t>
      </w:r>
      <w:r w:rsidR="0033259D">
        <w:rPr>
          <w:rFonts w:ascii="Times New Roman" w:hAnsi="Times New Roman" w:cs="Times New Roman"/>
          <w:b/>
          <w:bCs/>
          <w:sz w:val="21"/>
        </w:rPr>
        <w:t>Complementarity</w:t>
      </w:r>
      <w:r w:rsidR="001163CB" w:rsidRPr="00947ABA">
        <w:rPr>
          <w:rFonts w:ascii="Times New Roman" w:hAnsi="Times New Roman" w:cs="Times New Roman"/>
          <w:b/>
          <w:bCs/>
          <w:sz w:val="21"/>
        </w:rPr>
        <w:t xml:space="preserve"> Pattern</w:t>
      </w:r>
      <w:r w:rsidR="0033259D" w:rsidRPr="0033259D">
        <w:rPr>
          <w:rFonts w:ascii="Times New Roman" w:hAnsi="Times New Roman" w:cs="Times New Roman"/>
          <w:b/>
          <w:sz w:val="21"/>
        </w:rPr>
        <w:t xml:space="preserve"> Analysis</w:t>
      </w:r>
    </w:p>
    <w:p w14:paraId="4D32B75C" w14:textId="715071CD" w:rsidR="0033259D" w:rsidRPr="00AD58F3" w:rsidRDefault="0033259D" w:rsidP="001163CB">
      <w:pPr>
        <w:rPr>
          <w:rFonts w:ascii="Times New Roman" w:hAnsi="Times New Roman" w:cs="Times New Roman"/>
          <w:b/>
          <w:sz w:val="20"/>
        </w:rPr>
      </w:pPr>
      <w:r w:rsidRPr="00AD58F3">
        <w:rPr>
          <w:rFonts w:ascii="Times New Roman" w:hAnsi="Times New Roman" w:cs="Times New Roman"/>
          <w:b/>
          <w:i/>
          <w:sz w:val="20"/>
        </w:rPr>
        <w:t>[Analysis procedures]</w:t>
      </w:r>
    </w:p>
    <w:p w14:paraId="2DB11858" w14:textId="0A2A905A"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Combine together the genomic region of mature miRNA and that of miRNA binding site into one fragment and perform the haplotype analysis;</w:t>
      </w:r>
    </w:p>
    <w:p w14:paraId="11C33DE7" w14:textId="2B420419"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Obtain the combined haplotype pattern, in which the SNPs come from both fragments and are listed in ascending order;</w:t>
      </w:r>
    </w:p>
    <w:p w14:paraId="11775D46" w14:textId="3F8AB2C4"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Interpret the combined haplotype pattern into complementarity pattern, where mature miRNA sequence is paired with miRNA binding site (Watson-Crick base pair)</w:t>
      </w:r>
      <w:r w:rsidR="003B67C9" w:rsidRPr="00AD58F3">
        <w:rPr>
          <w:rFonts w:ascii="Times New Roman" w:hAnsi="Times New Roman" w:cs="Times New Roman"/>
          <w:sz w:val="20"/>
        </w:rPr>
        <w:t>, to see the effects of point mutations on miRNA pairing in real cultivars.</w:t>
      </w:r>
    </w:p>
    <w:p w14:paraId="26B9445B" w14:textId="77777777" w:rsidR="00027E0F" w:rsidRDefault="00027E0F" w:rsidP="003B67C9">
      <w:pPr>
        <w:rPr>
          <w:rFonts w:ascii="Times New Roman" w:hAnsi="Times New Roman" w:cs="Times New Roman"/>
          <w:b/>
          <w:sz w:val="21"/>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0AFBD92E" wp14:editId="7AC776ED">
                <wp:simplePos x="0" y="0"/>
                <wp:positionH relativeFrom="column">
                  <wp:posOffset>0</wp:posOffset>
                </wp:positionH>
                <wp:positionV relativeFrom="paragraph">
                  <wp:posOffset>24765</wp:posOffset>
                </wp:positionV>
                <wp:extent cx="5943812" cy="1693"/>
                <wp:effectExtent l="0" t="25400" r="25400" b="49530"/>
                <wp:wrapNone/>
                <wp:docPr id="8"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F8E0D" id="直线连接符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xsCNcBAADU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FtQ7FRhmls0eHjt8P365/Xn358+Hz4+oUcpyL1LtSYe2E2fjoFt/HJ8SC8Tl/0QoZc2P1cWBgi&#10;4Xj59Oz46LRaUsIxVp2cHSXK4g7rfIjPwWqSNg1V0iTbrGa7FyGOqbcp6VoZ0jcUGcvcwCKJG+Xk&#10;XdwrGNNeg0BvKKDKdHmq4EJ5smM4D4xzMLGatCiD2QkmpFIzsPwzcMpPUMgT9zfgGZFftibOYC2N&#10;9b97PQ63ksWYj6W85zttr2y7z43KARydXO1pzNNs3j9n+N3PuL4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CITGwI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70AF8FA9" w14:textId="2C8025E2" w:rsidR="004E4A08" w:rsidRPr="00027E0F" w:rsidRDefault="00AD58F3" w:rsidP="003B67C9">
      <w:pPr>
        <w:rPr>
          <w:rFonts w:ascii="Times New Roman" w:hAnsi="Times New Roman" w:cs="Times New Roman"/>
          <w:b/>
          <w:sz w:val="21"/>
        </w:rPr>
      </w:pPr>
      <w:r w:rsidRPr="00AD58F3">
        <w:rPr>
          <w:rFonts w:ascii="Times New Roman" w:hAnsi="Times New Roman" w:cs="Times New Roman"/>
          <w:b/>
          <w:i/>
          <w:sz w:val="20"/>
        </w:rPr>
        <w:t>[Figures to illustrate the procedures</w:t>
      </w:r>
      <w:r w:rsidRPr="00AD58F3">
        <w:rPr>
          <w:rFonts w:ascii="Times New Roman" w:hAnsi="Times New Roman" w:cs="Times New Roman"/>
          <w:i/>
          <w:sz w:val="20"/>
        </w:rPr>
        <w:t>]</w:t>
      </w:r>
    </w:p>
    <w:p w14:paraId="3903F7CA" w14:textId="103D0ADA" w:rsidR="00AD58F3" w:rsidRDefault="00AD58F3" w:rsidP="00AD58F3">
      <w:pPr>
        <w:jc w:val="center"/>
        <w:rPr>
          <w:rFonts w:ascii="Times New Roman" w:hAnsi="Times New Roman" w:cs="Times New Roman"/>
          <w:sz w:val="21"/>
        </w:rPr>
      </w:pPr>
      <w:r w:rsidRPr="00AD58F3">
        <w:rPr>
          <w:rFonts w:ascii="Times New Roman" w:hAnsi="Times New Roman" w:cs="Times New Roman"/>
          <w:sz w:val="21"/>
        </w:rPr>
        <w:drawing>
          <wp:inline distT="0" distB="0" distL="0" distR="0" wp14:anchorId="10D60505" wp14:editId="22675B68">
            <wp:extent cx="3634066" cy="237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241" cy="2387371"/>
                    </a:xfrm>
                    <a:prstGeom prst="rect">
                      <a:avLst/>
                    </a:prstGeom>
                  </pic:spPr>
                </pic:pic>
              </a:graphicData>
            </a:graphic>
          </wp:inline>
        </w:drawing>
      </w:r>
    </w:p>
    <w:p w14:paraId="123CFCA9" w14:textId="4E51E500" w:rsidR="00AD58F3" w:rsidRDefault="00027E0F" w:rsidP="00AD58F3">
      <w:pPr>
        <w:jc w:val="center"/>
        <w:rPr>
          <w:rFonts w:ascii="Times New Roman" w:hAnsi="Times New Roman" w:cs="Times New Roman"/>
          <w:sz w:val="21"/>
        </w:rPr>
      </w:pPr>
      <w:r>
        <w:rPr>
          <w:rFonts w:ascii="Times New Roman" w:hAnsi="Times New Roman" w:cs="Times New Roman"/>
          <w:noProof/>
          <w:sz w:val="21"/>
        </w:rPr>
        <mc:AlternateContent>
          <mc:Choice Requires="wps">
            <w:drawing>
              <wp:anchor distT="0" distB="0" distL="114300" distR="114300" simplePos="0" relativeHeight="251663360" behindDoc="0" locked="0" layoutInCell="1" allowOverlap="1" wp14:anchorId="36CAFEDA" wp14:editId="73F317C6">
                <wp:simplePos x="0" y="0"/>
                <wp:positionH relativeFrom="column">
                  <wp:posOffset>2726055</wp:posOffset>
                </wp:positionH>
                <wp:positionV relativeFrom="paragraph">
                  <wp:posOffset>106680</wp:posOffset>
                </wp:positionV>
                <wp:extent cx="114300" cy="254000"/>
                <wp:effectExtent l="25400" t="0" r="63500" b="50800"/>
                <wp:wrapThrough wrapText="bothSides">
                  <wp:wrapPolygon edited="0">
                    <wp:start x="-4800" y="0"/>
                    <wp:lineTo x="-4800" y="23760"/>
                    <wp:lineTo x="4800" y="23760"/>
                    <wp:lineTo x="24000" y="23760"/>
                    <wp:lineTo x="28800" y="2160"/>
                    <wp:lineTo x="28800" y="0"/>
                    <wp:lineTo x="-4800" y="0"/>
                  </wp:wrapPolygon>
                </wp:wrapThrough>
                <wp:docPr id="7" name="Down Arrow 7"/>
                <wp:cNvGraphicFramePr/>
                <a:graphic xmlns:a="http://schemas.openxmlformats.org/drawingml/2006/main">
                  <a:graphicData uri="http://schemas.microsoft.com/office/word/2010/wordprocessingShape">
                    <wps:wsp>
                      <wps:cNvSpPr/>
                      <wps:spPr>
                        <a:xfrm>
                          <a:off x="0" y="0"/>
                          <a:ext cx="114300"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12E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14.65pt;margin-top:8.4pt;width:9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" adj="16740" fillcolor="#5b9bd5 [3204]" strokecolor="#1f4d78 [1604]" strokeweight="1pt">
                <w10:wrap type="through"/>
              </v:shape>
            </w:pict>
          </mc:Fallback>
        </mc:AlternateContent>
      </w:r>
    </w:p>
    <w:p w14:paraId="5AE2657F" w14:textId="77777777" w:rsidR="00AD58F3" w:rsidRDefault="00AD58F3" w:rsidP="00AD58F3">
      <w:pPr>
        <w:jc w:val="center"/>
        <w:rPr>
          <w:rFonts w:ascii="Times New Roman" w:hAnsi="Times New Roman" w:cs="Times New Roman"/>
          <w:sz w:val="21"/>
        </w:rPr>
      </w:pPr>
    </w:p>
    <w:p w14:paraId="58445810" w14:textId="4181EBF6" w:rsidR="00AD58F3" w:rsidRDefault="00AD58F3" w:rsidP="00AD58F3">
      <w:pPr>
        <w:jc w:val="center"/>
        <w:rPr>
          <w:rFonts w:ascii="Times New Roman" w:hAnsi="Times New Roman" w:cs="Times New Roman"/>
          <w:sz w:val="21"/>
        </w:rPr>
      </w:pPr>
      <w:r w:rsidRPr="00AD58F3">
        <w:rPr>
          <w:rFonts w:ascii="Times New Roman" w:hAnsi="Times New Roman" w:cs="Times New Roman"/>
          <w:sz w:val="21"/>
        </w:rPr>
        <w:drawing>
          <wp:inline distT="0" distB="0" distL="0" distR="0" wp14:anchorId="30461562" wp14:editId="2466AE64">
            <wp:extent cx="4003671" cy="2307176"/>
            <wp:effectExtent l="0" t="0" r="1016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320" cy="2323685"/>
                    </a:xfrm>
                    <a:prstGeom prst="rect">
                      <a:avLst/>
                    </a:prstGeom>
                  </pic:spPr>
                </pic:pic>
              </a:graphicData>
            </a:graphic>
          </wp:inline>
        </w:drawing>
      </w:r>
    </w:p>
    <w:p w14:paraId="77E22648" w14:textId="512A4B4C" w:rsidR="00AD58F3" w:rsidRDefault="00027E0F" w:rsidP="00AD58F3">
      <w:pPr>
        <w:jc w:val="center"/>
        <w:rPr>
          <w:rFonts w:ascii="Times New Roman" w:hAnsi="Times New Roman" w:cs="Times New Roman"/>
          <w:sz w:val="21"/>
        </w:rPr>
      </w:pPr>
      <w:r>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5E977D59" wp14:editId="74B097E5">
                <wp:simplePos x="0" y="0"/>
                <wp:positionH relativeFrom="column">
                  <wp:posOffset>0</wp:posOffset>
                </wp:positionH>
                <wp:positionV relativeFrom="paragraph">
                  <wp:posOffset>24765</wp:posOffset>
                </wp:positionV>
                <wp:extent cx="5943812" cy="1693"/>
                <wp:effectExtent l="0" t="25400" r="25400" b="49530"/>
                <wp:wrapNone/>
                <wp:docPr id="9"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FB511C" id="直线连接符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DgxRMS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08EC74C1" w14:textId="71FAF5FA" w:rsidR="003B67C9" w:rsidRPr="00947ABA" w:rsidRDefault="003B67C9" w:rsidP="003B67C9">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4</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IV</w:t>
      </w:r>
      <w:r w:rsidRPr="00947ABA">
        <w:rPr>
          <w:rFonts w:ascii="Times New Roman" w:hAnsi="Times New Roman" w:cs="Times New Roman"/>
          <w:b/>
        </w:rPr>
        <w:fldChar w:fldCharType="end"/>
      </w:r>
    </w:p>
    <w:p w14:paraId="7247D771" w14:textId="26AA80BB" w:rsidR="003B67C9" w:rsidRDefault="004E4A08" w:rsidP="003B67C9">
      <w:pPr>
        <w:rPr>
          <w:rFonts w:ascii="Times New Roman" w:hAnsi="Times New Roman" w:cs="Times New Roman"/>
          <w:b/>
          <w:bCs/>
          <w:sz w:val="21"/>
        </w:rPr>
      </w:pPr>
      <w:r>
        <w:rPr>
          <w:rFonts w:ascii="Times New Roman" w:hAnsi="Times New Roman" w:cs="Times New Roman"/>
          <w:b/>
          <w:bCs/>
          <w:sz w:val="21"/>
        </w:rPr>
        <w:t>Multifold Combined Complementarity Analysis</w:t>
      </w:r>
    </w:p>
    <w:p w14:paraId="4641615B" w14:textId="77777777" w:rsidR="00655B88" w:rsidRDefault="00655B88" w:rsidP="003B67C9">
      <w:pPr>
        <w:rPr>
          <w:rFonts w:ascii="Times New Roman" w:hAnsi="Times New Roman" w:cs="Times New Roman"/>
          <w:b/>
          <w:bCs/>
          <w:i/>
          <w:sz w:val="21"/>
        </w:rPr>
      </w:pPr>
    </w:p>
    <w:p w14:paraId="03F6C89F" w14:textId="614F34BD" w:rsidR="004E4A08" w:rsidRPr="00655B88" w:rsidRDefault="004E4A08" w:rsidP="003B67C9">
      <w:pPr>
        <w:rPr>
          <w:rFonts w:ascii="Times New Roman" w:hAnsi="Times New Roman" w:cs="Times New Roman" w:hint="eastAsia"/>
          <w:bCs/>
          <w:i/>
          <w:sz w:val="21"/>
        </w:rPr>
      </w:pPr>
      <w:r w:rsidRPr="004E4A08">
        <w:rPr>
          <w:rFonts w:ascii="Times New Roman" w:hAnsi="Times New Roman" w:cs="Times New Roman"/>
          <w:b/>
          <w:bCs/>
          <w:i/>
          <w:sz w:val="21"/>
        </w:rPr>
        <w:t>Note:</w:t>
      </w:r>
      <w:r>
        <w:rPr>
          <w:rFonts w:ascii="Times New Roman" w:hAnsi="Times New Roman" w:cs="Times New Roman"/>
          <w:b/>
          <w:bCs/>
          <w:i/>
          <w:sz w:val="21"/>
        </w:rPr>
        <w:t xml:space="preserve"> </w:t>
      </w:r>
      <w:r w:rsidRPr="00655B88">
        <w:rPr>
          <w:rFonts w:ascii="Times New Roman" w:hAnsi="Times New Roman" w:cs="Times New Roman"/>
          <w:bCs/>
          <w:i/>
          <w:sz w:val="21"/>
        </w:rPr>
        <w:t xml:space="preserve">In some well-studied miRNA families, the miRNA members are similar to each other by their sequence and they are often predicted to have the same targets, so in order to see the overall effects of mutations have on the </w:t>
      </w:r>
      <w:r w:rsidR="00655B88" w:rsidRPr="00655B88">
        <w:rPr>
          <w:rFonts w:ascii="Times New Roman" w:hAnsi="Times New Roman" w:cs="Times New Roman"/>
          <w:bCs/>
          <w:i/>
          <w:sz w:val="21"/>
        </w:rPr>
        <w:t xml:space="preserve">regulation of a specific target gene, we decided to combine together all the miRNA members as well as the target gene binding site under study to perform the </w:t>
      </w:r>
      <w:r w:rsidR="00655B88">
        <w:rPr>
          <w:rFonts w:ascii="Times New Roman" w:hAnsi="Times New Roman" w:cs="Times New Roman"/>
          <w:bCs/>
          <w:i/>
          <w:sz w:val="21"/>
        </w:rPr>
        <w:t>multifold combined complementarity analysis.</w:t>
      </w:r>
    </w:p>
    <w:p w14:paraId="5540BDCB" w14:textId="77777777" w:rsidR="00655B88" w:rsidRDefault="00655B88" w:rsidP="003B67C9">
      <w:pPr>
        <w:rPr>
          <w:rFonts w:ascii="Times New Roman" w:hAnsi="Times New Roman" w:cs="Times New Roman"/>
          <w:b/>
          <w:bCs/>
          <w:i/>
          <w:sz w:val="21"/>
        </w:rPr>
      </w:pPr>
    </w:p>
    <w:p w14:paraId="38E1F467" w14:textId="5D635CA8" w:rsidR="004A0171" w:rsidRDefault="00655B88" w:rsidP="004A0171">
      <w:pPr>
        <w:rPr>
          <w:rFonts w:ascii="Times New Roman" w:hAnsi="Times New Roman" w:cs="Times New Roman"/>
          <w:bCs/>
          <w:i/>
          <w:sz w:val="21"/>
        </w:rPr>
      </w:pPr>
      <w:r>
        <w:rPr>
          <w:rFonts w:ascii="Times New Roman" w:hAnsi="Times New Roman" w:cs="Times New Roman"/>
          <w:b/>
          <w:bCs/>
          <w:i/>
          <w:sz w:val="21"/>
        </w:rPr>
        <w:t xml:space="preserve">Description: </w:t>
      </w:r>
      <w:r w:rsidR="004E4A08" w:rsidRPr="00655B88">
        <w:rPr>
          <w:rFonts w:ascii="Times New Roman" w:hAnsi="Times New Roman" w:cs="Times New Roman"/>
          <w:bCs/>
          <w:i/>
          <w:sz w:val="21"/>
        </w:rPr>
        <w:t>Combine together the genomic regions of all members belonging to the same miRNA family as well as that o</w:t>
      </w:r>
      <w:r>
        <w:rPr>
          <w:rFonts w:ascii="Times New Roman" w:hAnsi="Times New Roman" w:cs="Times New Roman"/>
          <w:bCs/>
          <w:i/>
          <w:sz w:val="21"/>
        </w:rPr>
        <w:t>f the target gene under study;</w:t>
      </w:r>
    </w:p>
    <w:p w14:paraId="2EAE3284" w14:textId="77777777" w:rsidR="00EA5DDE" w:rsidRDefault="00EA5DDE" w:rsidP="004A0171">
      <w:pPr>
        <w:rPr>
          <w:rFonts w:ascii="Times New Roman" w:hAnsi="Times New Roman" w:cs="Times New Roman"/>
          <w:bCs/>
          <w:i/>
          <w:sz w:val="21"/>
        </w:rPr>
      </w:pPr>
    </w:p>
    <w:p w14:paraId="1FAAC299" w14:textId="7EF008BF" w:rsidR="00EA5DDE" w:rsidRDefault="00EA5DDE" w:rsidP="004A0171">
      <w:pPr>
        <w:rPr>
          <w:rFonts w:ascii="Times New Roman" w:hAnsi="Times New Roman" w:cs="Times New Roman"/>
          <w:bCs/>
          <w:i/>
          <w:sz w:val="21"/>
        </w:rPr>
      </w:pPr>
      <w:r>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598C7F7F" wp14:editId="7E040B91">
                <wp:simplePos x="0" y="0"/>
                <wp:positionH relativeFrom="column">
                  <wp:posOffset>0</wp:posOffset>
                </wp:positionH>
                <wp:positionV relativeFrom="paragraph">
                  <wp:posOffset>24765</wp:posOffset>
                </wp:positionV>
                <wp:extent cx="5943812" cy="1693"/>
                <wp:effectExtent l="0" t="25400" r="25400" b="49530"/>
                <wp:wrapNone/>
                <wp:docPr id="11"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64623" id="直线连接符 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J2NgBAADV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" strokecolor="#5b9bd5 [3204]" strokeweight="3pt">
                <v:stroke joinstyle="miter"/>
              </v:line>
            </w:pict>
          </mc:Fallback>
        </mc:AlternateContent>
      </w:r>
    </w:p>
    <w:p w14:paraId="74F83189" w14:textId="0E50F601" w:rsidR="00EA5DDE" w:rsidRPr="00EA5DDE" w:rsidRDefault="00EA5DDE" w:rsidP="004A0171">
      <w:pPr>
        <w:rPr>
          <w:rFonts w:ascii="Times New Roman" w:hAnsi="Times New Roman" w:cs="Times New Roman"/>
          <w:b/>
          <w:bCs/>
          <w:i/>
          <w:sz w:val="21"/>
        </w:rPr>
      </w:pPr>
      <w:r w:rsidRPr="00EA5DDE">
        <w:rPr>
          <w:rFonts w:ascii="Times New Roman" w:hAnsi="Times New Roman" w:cs="Times New Roman"/>
          <w:b/>
          <w:bCs/>
          <w:i/>
          <w:sz w:val="21"/>
        </w:rPr>
        <w:t>[Figure to illustrate the Multifold combined complementarity analysis, osa-miR156 as an example]</w:t>
      </w:r>
    </w:p>
    <w:p w14:paraId="4F69E337" w14:textId="10B6D136" w:rsidR="00C57E11" w:rsidRDefault="00EA5DDE" w:rsidP="00EA5DDE">
      <w:pPr>
        <w:jc w:val="center"/>
      </w:pPr>
      <w:r w:rsidRPr="00EA5DDE">
        <w:drawing>
          <wp:inline distT="0" distB="0" distL="0" distR="0" wp14:anchorId="5084C7D4" wp14:editId="0FB14B84">
            <wp:extent cx="3463098" cy="28142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5" cy="2827394"/>
                    </a:xfrm>
                    <a:prstGeom prst="rect">
                      <a:avLst/>
                    </a:prstGeom>
                  </pic:spPr>
                </pic:pic>
              </a:graphicData>
            </a:graphic>
          </wp:inline>
        </w:drawing>
      </w:r>
    </w:p>
    <w:p w14:paraId="7C3CB11C" w14:textId="3F636DB1" w:rsidR="00EA5DDE" w:rsidRDefault="00EA5DDE" w:rsidP="00EA5DDE">
      <w:pPr>
        <w:jc w:val="center"/>
      </w:pP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6473F624" wp14:editId="4FB6B0EC">
                <wp:simplePos x="0" y="0"/>
                <wp:positionH relativeFrom="column">
                  <wp:posOffset>0</wp:posOffset>
                </wp:positionH>
                <wp:positionV relativeFrom="paragraph">
                  <wp:posOffset>24765</wp:posOffset>
                </wp:positionV>
                <wp:extent cx="5943812" cy="1693"/>
                <wp:effectExtent l="0" t="25400" r="25400" b="49530"/>
                <wp:wrapNone/>
                <wp:docPr id="12"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15531" id="直线连接符 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A0vAn21wEAANUD&#10;AAAOAAAAAAAAAAAAAAAAACwCAABkcnMvZTJvRG9jLnhtbFBLAQItABQABgAIAAAAIQBelMwx2gAA&#10;AAQBAAAPAAAAAAAAAAAAAAAAAC8EAABkcnMvZG93bnJldi54bWxQSwUGAAAAAAQABADzAAAANgUA&#10;AAAA&#10;" strokecolor="#5b9bd5 [3204]" strokeweight="3pt">
                <v:stroke joinstyle="miter"/>
              </v:line>
            </w:pict>
          </mc:Fallback>
        </mc:AlternateContent>
      </w:r>
    </w:p>
    <w:sectPr w:rsidR="00EA5DDE" w:rsidSect="00F61526">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F9DC3" w14:textId="77777777" w:rsidR="00871F4C" w:rsidRDefault="00871F4C">
      <w:r>
        <w:separator/>
      </w:r>
    </w:p>
  </w:endnote>
  <w:endnote w:type="continuationSeparator" w:id="0">
    <w:p w14:paraId="556BE08A" w14:textId="77777777" w:rsidR="00871F4C" w:rsidRDefault="0087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871F4C">
          <w:rPr>
            <w:noProof/>
          </w:rPr>
          <w:t>1</w:t>
        </w:r>
        <w:r>
          <w:rPr>
            <w:noProof/>
          </w:rPr>
          <w:fldChar w:fldCharType="end"/>
        </w:r>
      </w:p>
    </w:sdtContent>
  </w:sdt>
  <w:p w14:paraId="47482E89" w14:textId="77777777" w:rsidR="007C6971" w:rsidRDefault="00871F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4F75A" w14:textId="77777777" w:rsidR="00871F4C" w:rsidRDefault="00871F4C">
      <w:r>
        <w:separator/>
      </w:r>
    </w:p>
  </w:footnote>
  <w:footnote w:type="continuationSeparator" w:id="0">
    <w:p w14:paraId="3FE3463D" w14:textId="77777777" w:rsidR="00871F4C" w:rsidRDefault="00871F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D824B48"/>
    <w:lvl w:ilvl="0" w:tplc="04090001">
      <w:start w:val="1"/>
      <w:numFmt w:val="bullet"/>
      <w:lvlText w:val=""/>
      <w:lvlJc w:val="left"/>
      <w:pPr>
        <w:ind w:left="1320" w:hanging="360"/>
      </w:pPr>
      <w:rPr>
        <w:rFonts w:ascii="Symbol" w:hAnsi="Symbol" w:hint="default"/>
      </w:r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09052950"/>
    <w:multiLevelType w:val="hybridMultilevel"/>
    <w:tmpl w:val="0F5A4508"/>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05949A4"/>
    <w:multiLevelType w:val="hybridMultilevel"/>
    <w:tmpl w:val="74C41892"/>
    <w:lvl w:ilvl="0" w:tplc="7F508F2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654A04"/>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3">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E608E2"/>
    <w:multiLevelType w:val="hybridMultilevel"/>
    <w:tmpl w:val="1D6AC34A"/>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C56F2"/>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2349702E"/>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2">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3">
    <w:nsid w:val="37C41763"/>
    <w:multiLevelType w:val="hybridMultilevel"/>
    <w:tmpl w:val="CCCA0EB2"/>
    <w:lvl w:ilvl="0" w:tplc="595EC14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2771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nsid w:val="4B8C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FCF7DFB"/>
    <w:multiLevelType w:val="hybridMultilevel"/>
    <w:tmpl w:val="AD088732"/>
    <w:lvl w:ilvl="0" w:tplc="04090001">
      <w:start w:val="1"/>
      <w:numFmt w:val="bullet"/>
      <w:lvlText w:val=""/>
      <w:lvlJc w:val="left"/>
      <w:pPr>
        <w:ind w:left="1320" w:hanging="360"/>
      </w:pPr>
      <w:rPr>
        <w:rFonts w:ascii="Symbol" w:hAnsi="Symbol" w:hint="default"/>
        <w:color w:val="7030A0"/>
      </w:rPr>
    </w:lvl>
    <w:lvl w:ilvl="1" w:tplc="929E5EC8">
      <w:numFmt w:val="bullet"/>
      <w:lvlText w:val=""/>
      <w:lvlJc w:val="left"/>
      <w:pPr>
        <w:tabs>
          <w:tab w:val="num" w:pos="-60"/>
        </w:tabs>
        <w:ind w:left="-60" w:hanging="360"/>
      </w:pPr>
      <w:rPr>
        <w:rFonts w:ascii="Wingdings" w:hAnsi="Wingdings" w:hint="default"/>
      </w:rPr>
    </w:lvl>
    <w:lvl w:ilvl="2" w:tplc="8F38E306">
      <w:start w:val="1"/>
      <w:numFmt w:val="bullet"/>
      <w:lvlText w:val=""/>
      <w:lvlJc w:val="left"/>
      <w:pPr>
        <w:tabs>
          <w:tab w:val="num" w:pos="660"/>
        </w:tabs>
        <w:ind w:left="660" w:hanging="360"/>
      </w:pPr>
      <w:rPr>
        <w:rFonts w:ascii="Wingdings" w:hAnsi="Wingdings" w:hint="default"/>
      </w:rPr>
    </w:lvl>
    <w:lvl w:ilvl="3" w:tplc="595EC148">
      <w:start w:val="1"/>
      <w:numFmt w:val="lowerLetter"/>
      <w:lvlText w:val="%4)"/>
      <w:lvlJc w:val="left"/>
      <w:pPr>
        <w:ind w:left="1380" w:hanging="360"/>
      </w:pPr>
      <w:rPr>
        <w:rFonts w:hint="eastAsia"/>
        <w:color w:val="7030A0"/>
      </w:rPr>
    </w:lvl>
    <w:lvl w:ilvl="4" w:tplc="1DDAA880">
      <w:start w:val="1"/>
      <w:numFmt w:val="bullet"/>
      <w:lvlText w:val=""/>
      <w:lvlJc w:val="left"/>
      <w:pPr>
        <w:tabs>
          <w:tab w:val="num" w:pos="2100"/>
        </w:tabs>
        <w:ind w:left="2100" w:hanging="360"/>
      </w:pPr>
      <w:rPr>
        <w:rFonts w:ascii="Wingdings" w:hAnsi="Wingdings" w:hint="default"/>
      </w:rPr>
    </w:lvl>
    <w:lvl w:ilvl="5" w:tplc="E1F294DE" w:tentative="1">
      <w:start w:val="1"/>
      <w:numFmt w:val="bullet"/>
      <w:lvlText w:val=""/>
      <w:lvlJc w:val="left"/>
      <w:pPr>
        <w:tabs>
          <w:tab w:val="num" w:pos="2820"/>
        </w:tabs>
        <w:ind w:left="2820" w:hanging="360"/>
      </w:pPr>
      <w:rPr>
        <w:rFonts w:ascii="Wingdings" w:hAnsi="Wingdings" w:hint="default"/>
      </w:rPr>
    </w:lvl>
    <w:lvl w:ilvl="6" w:tplc="7C44D090" w:tentative="1">
      <w:start w:val="1"/>
      <w:numFmt w:val="bullet"/>
      <w:lvlText w:val=""/>
      <w:lvlJc w:val="left"/>
      <w:pPr>
        <w:tabs>
          <w:tab w:val="num" w:pos="3540"/>
        </w:tabs>
        <w:ind w:left="3540" w:hanging="360"/>
      </w:pPr>
      <w:rPr>
        <w:rFonts w:ascii="Wingdings" w:hAnsi="Wingdings" w:hint="default"/>
      </w:rPr>
    </w:lvl>
    <w:lvl w:ilvl="7" w:tplc="CEC0412A" w:tentative="1">
      <w:start w:val="1"/>
      <w:numFmt w:val="bullet"/>
      <w:lvlText w:val=""/>
      <w:lvlJc w:val="left"/>
      <w:pPr>
        <w:tabs>
          <w:tab w:val="num" w:pos="4260"/>
        </w:tabs>
        <w:ind w:left="4260" w:hanging="360"/>
      </w:pPr>
      <w:rPr>
        <w:rFonts w:ascii="Wingdings" w:hAnsi="Wingdings" w:hint="default"/>
      </w:rPr>
    </w:lvl>
    <w:lvl w:ilvl="8" w:tplc="4984AC26" w:tentative="1">
      <w:start w:val="1"/>
      <w:numFmt w:val="bullet"/>
      <w:lvlText w:val=""/>
      <w:lvlJc w:val="left"/>
      <w:pPr>
        <w:tabs>
          <w:tab w:val="num" w:pos="4980"/>
        </w:tabs>
        <w:ind w:left="4980" w:hanging="360"/>
      </w:pPr>
      <w:rPr>
        <w:rFonts w:ascii="Wingdings" w:hAnsi="Wingdings" w:hint="default"/>
      </w:rPr>
    </w:lvl>
  </w:abstractNum>
  <w:abstractNum w:abstractNumId="30">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6FF469E"/>
    <w:multiLevelType w:val="hybridMultilevel"/>
    <w:tmpl w:val="C3E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5D5615"/>
    <w:multiLevelType w:val="hybridMultilevel"/>
    <w:tmpl w:val="656A0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7009BA"/>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nsid w:val="77AA787E"/>
    <w:multiLevelType w:val="hybridMultilevel"/>
    <w:tmpl w:val="A3C42854"/>
    <w:lvl w:ilvl="0" w:tplc="595EC148">
      <w:start w:val="1"/>
      <w:numFmt w:val="lowerLetter"/>
      <w:lvlText w:val="%1)"/>
      <w:lvlJc w:val="left"/>
      <w:pPr>
        <w:ind w:left="960" w:hanging="480"/>
      </w:pPr>
      <w:rPr>
        <w:rFonts w:hint="eastAsia"/>
      </w:rPr>
    </w:lvl>
    <w:lvl w:ilvl="1" w:tplc="04090019">
      <w:start w:val="1"/>
      <w:numFmt w:val="lowerLetter"/>
      <w:lvlText w:val="%2)"/>
      <w:lvlJc w:val="left"/>
      <w:pPr>
        <w:ind w:left="1440" w:hanging="480"/>
      </w:pPr>
    </w:lvl>
    <w:lvl w:ilvl="2" w:tplc="0409001B">
      <w:start w:val="1"/>
      <w:numFmt w:val="lowerRoman"/>
      <w:lvlText w:val="%3."/>
      <w:lvlJc w:val="right"/>
      <w:pPr>
        <w:ind w:left="1800" w:hanging="360"/>
      </w:pPr>
    </w:lvl>
    <w:lvl w:ilvl="3" w:tplc="0409000F">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5">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nsid w:val="7C6B6F96"/>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9"/>
  </w:num>
  <w:num w:numId="2">
    <w:abstractNumId w:val="14"/>
  </w:num>
  <w:num w:numId="3">
    <w:abstractNumId w:val="27"/>
  </w:num>
  <w:num w:numId="4">
    <w:abstractNumId w:val="10"/>
  </w:num>
  <w:num w:numId="5">
    <w:abstractNumId w:val="8"/>
  </w:num>
  <w:num w:numId="6">
    <w:abstractNumId w:val="6"/>
  </w:num>
  <w:num w:numId="7">
    <w:abstractNumId w:val="12"/>
  </w:num>
  <w:num w:numId="8">
    <w:abstractNumId w:val="21"/>
  </w:num>
  <w:num w:numId="9">
    <w:abstractNumId w:val="25"/>
  </w:num>
  <w:num w:numId="10">
    <w:abstractNumId w:val="3"/>
  </w:num>
  <w:num w:numId="11">
    <w:abstractNumId w:val="20"/>
  </w:num>
  <w:num w:numId="12">
    <w:abstractNumId w:val="4"/>
  </w:num>
  <w:num w:numId="13">
    <w:abstractNumId w:val="24"/>
  </w:num>
  <w:num w:numId="14">
    <w:abstractNumId w:val="35"/>
  </w:num>
  <w:num w:numId="15">
    <w:abstractNumId w:val="22"/>
  </w:num>
  <w:num w:numId="16">
    <w:abstractNumId w:val="17"/>
  </w:num>
  <w:num w:numId="17">
    <w:abstractNumId w:val="34"/>
  </w:num>
  <w:num w:numId="18">
    <w:abstractNumId w:val="9"/>
  </w:num>
  <w:num w:numId="19">
    <w:abstractNumId w:val="13"/>
  </w:num>
  <w:num w:numId="20">
    <w:abstractNumId w:val="30"/>
  </w:num>
  <w:num w:numId="21">
    <w:abstractNumId w:val="0"/>
  </w:num>
  <w:num w:numId="22">
    <w:abstractNumId w:val="36"/>
  </w:num>
  <w:num w:numId="23">
    <w:abstractNumId w:val="11"/>
  </w:num>
  <w:num w:numId="24">
    <w:abstractNumId w:val="18"/>
  </w:num>
  <w:num w:numId="25">
    <w:abstractNumId w:val="29"/>
  </w:num>
  <w:num w:numId="26">
    <w:abstractNumId w:val="7"/>
  </w:num>
  <w:num w:numId="27">
    <w:abstractNumId w:val="33"/>
  </w:num>
  <w:num w:numId="28">
    <w:abstractNumId w:val="16"/>
  </w:num>
  <w:num w:numId="29">
    <w:abstractNumId w:val="26"/>
  </w:num>
  <w:num w:numId="30">
    <w:abstractNumId w:val="28"/>
  </w:num>
  <w:num w:numId="31">
    <w:abstractNumId w:val="32"/>
  </w:num>
  <w:num w:numId="32">
    <w:abstractNumId w:val="15"/>
  </w:num>
  <w:num w:numId="33">
    <w:abstractNumId w:val="5"/>
  </w:num>
  <w:num w:numId="34">
    <w:abstractNumId w:val="1"/>
  </w:num>
  <w:num w:numId="35">
    <w:abstractNumId w:val="2"/>
  </w:num>
  <w:num w:numId="36">
    <w:abstractNumId w:val="2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27E0F"/>
    <w:rsid w:val="00065051"/>
    <w:rsid w:val="00077DBF"/>
    <w:rsid w:val="00082FDF"/>
    <w:rsid w:val="001163CB"/>
    <w:rsid w:val="00154C11"/>
    <w:rsid w:val="00155434"/>
    <w:rsid w:val="001C3FAF"/>
    <w:rsid w:val="002B24DF"/>
    <w:rsid w:val="002B348E"/>
    <w:rsid w:val="002C1BDA"/>
    <w:rsid w:val="002E690E"/>
    <w:rsid w:val="002F5405"/>
    <w:rsid w:val="00325A4C"/>
    <w:rsid w:val="003322E1"/>
    <w:rsid w:val="0033259D"/>
    <w:rsid w:val="003339A6"/>
    <w:rsid w:val="00392110"/>
    <w:rsid w:val="003A038A"/>
    <w:rsid w:val="003A6CC8"/>
    <w:rsid w:val="003B67C9"/>
    <w:rsid w:val="003F4759"/>
    <w:rsid w:val="00456611"/>
    <w:rsid w:val="004A0171"/>
    <w:rsid w:val="004C76F2"/>
    <w:rsid w:val="004E4A08"/>
    <w:rsid w:val="005527D5"/>
    <w:rsid w:val="005D55E6"/>
    <w:rsid w:val="00655B88"/>
    <w:rsid w:val="0067557C"/>
    <w:rsid w:val="006A6DD7"/>
    <w:rsid w:val="006C4C23"/>
    <w:rsid w:val="00721FA0"/>
    <w:rsid w:val="007422AD"/>
    <w:rsid w:val="00766D1F"/>
    <w:rsid w:val="00825C1A"/>
    <w:rsid w:val="0084487A"/>
    <w:rsid w:val="00844E97"/>
    <w:rsid w:val="00871F4C"/>
    <w:rsid w:val="008B2ACD"/>
    <w:rsid w:val="008E6CD0"/>
    <w:rsid w:val="009429CC"/>
    <w:rsid w:val="00AD58F3"/>
    <w:rsid w:val="00B53B38"/>
    <w:rsid w:val="00B97569"/>
    <w:rsid w:val="00BF5338"/>
    <w:rsid w:val="00BF7E8D"/>
    <w:rsid w:val="00C9302A"/>
    <w:rsid w:val="00CD67DD"/>
    <w:rsid w:val="00CF76C5"/>
    <w:rsid w:val="00D10F59"/>
    <w:rsid w:val="00D27DE0"/>
    <w:rsid w:val="00D320EB"/>
    <w:rsid w:val="00DC716D"/>
    <w:rsid w:val="00DF0CA0"/>
    <w:rsid w:val="00DF77EB"/>
    <w:rsid w:val="00E32397"/>
    <w:rsid w:val="00E41AA4"/>
    <w:rsid w:val="00E74CA8"/>
    <w:rsid w:val="00E760D9"/>
    <w:rsid w:val="00EA5DDE"/>
    <w:rsid w:val="00EC40AC"/>
    <w:rsid w:val="00EF1B07"/>
    <w:rsid w:val="00F44E4E"/>
    <w:rsid w:val="00F61526"/>
    <w:rsid w:val="00F764F5"/>
    <w:rsid w:val="00FB49D3"/>
    <w:rsid w:val="00FD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4E4E"/>
    <w:pPr>
      <w:widowControl w:val="0"/>
      <w:jc w:val="both"/>
    </w:pPr>
  </w:style>
  <w:style w:type="paragraph" w:styleId="Heading1">
    <w:name w:val="heading 1"/>
    <w:basedOn w:val="Normal"/>
    <w:next w:val="Normal"/>
    <w:link w:val="Heading1Char"/>
    <w:uiPriority w:val="9"/>
    <w:qFormat/>
    <w:rsid w:val="004A0171"/>
    <w:pPr>
      <w:keepNext/>
      <w:keepLines/>
      <w:numPr>
        <w:numId w:val="28"/>
      </w:numPr>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1C3FAF"/>
    <w:rPr>
      <w:color w:val="0563C1" w:themeColor="hyperlink"/>
      <w:u w:val="single"/>
    </w:rPr>
  </w:style>
  <w:style w:type="character" w:styleId="FollowedHyperlink">
    <w:name w:val="FollowedHyperlink"/>
    <w:basedOn w:val="DefaultParagraphFont"/>
    <w:uiPriority w:val="99"/>
    <w:semiHidden/>
    <w:unhideWhenUsed/>
    <w:rsid w:val="001C3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_variety.zu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48CB8D-9AB2-C746-9908-A26EAF57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4224</Words>
  <Characters>24082</Characters>
  <Application>Microsoft Macintosh Word</Application>
  <DocSecurity>0</DocSecurity>
  <Lines>200</Lines>
  <Paragraphs>56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Plan and Progress 2016/7/27</vt:lpstr>
    </vt:vector>
  </TitlesOfParts>
  <LinksUpToDate>false</LinksUpToDate>
  <CharactersWithSpaces>28250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21</cp:revision>
  <dcterms:created xsi:type="dcterms:W3CDTF">2016-03-23T02:53:00Z</dcterms:created>
  <dcterms:modified xsi:type="dcterms:W3CDTF">2016-07-28T03:39:00Z</dcterms:modified>
</cp:coreProperties>
</file>