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color w:val="1F4E79"/>
          <w:sz w:val="36"/>
        </w:rPr>
        <w:t>农村污水PPP绩效考核报告生成系统原型设计文档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1. 原型目标</w:t>
      </w:r>
    </w:p>
    <w:p>
      <w:pPr>
        <w:spacing w:after="100"/>
      </w:pPr>
      <w:r>
        <w:rPr>
          <w:rFonts w:ascii="宋体" w:hAnsi="宋体" w:eastAsia="宋体"/>
          <w:sz w:val="22"/>
        </w:rPr>
        <w:t>原型目标是让用户一眼明白：上传资料包即可生成正式报告；如果本次没有新的金额计算方法，系统会自动使用默认金额计算方法继续生成。</w:t>
      </w:r>
    </w:p>
    <w:p>
      <w:pPr>
        <w:spacing w:after="100"/>
      </w:pPr>
      <w:r>
        <w:rPr>
          <w:rFonts w:ascii="宋体" w:hAnsi="宋体" w:eastAsia="宋体"/>
          <w:sz w:val="22"/>
        </w:rPr>
        <w:t>主流程：</w:t>
      </w:r>
    </w:p>
    <w:p>
      <w:pPr>
        <w:spacing w:after="100"/>
      </w:pPr>
      <w:r>
        <w:rPr>
          <w:rFonts w:ascii="宋体" w:hAnsi="宋体" w:eastAsia="宋体"/>
          <w:sz w:val="22"/>
        </w:rPr>
        <w:t>上传资料包 → 确认生成 → 自动处理 → 下载成品报告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2. 设计原则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首页只突出一个主入口：上传资料包生成报告。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资料包是必填项，新的金额计算方法是选填项。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金额基础数据、正文底稿、公共资料、技能版本等内部概念不出现在主流程。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系统自动完成资料识别、金额核算、正文生成和报告校验。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结果页以成品 DOCX 报告为中心。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金额过程、校验清单和 Agent 日志放到详情抽屉。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3. 页面结构</w:t>
      </w:r>
    </w:p>
    <w:p>
      <w:pPr>
        <w:spacing w:after="100"/>
      </w:pPr>
      <w:r>
        <w:rPr>
          <w:rFonts w:ascii="宋体" w:hAnsi="宋体" w:eastAsia="宋体"/>
          <w:sz w:val="22"/>
        </w:rPr>
        <w:t>左侧导航：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生成报告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历史报告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规则设置</w:t>
      </w:r>
    </w:p>
    <w:p>
      <w:pPr>
        <w:spacing w:after="100"/>
      </w:pPr>
      <w:r>
        <w:rPr>
          <w:rFonts w:ascii="宋体" w:hAnsi="宋体" w:eastAsia="宋体"/>
          <w:sz w:val="22"/>
        </w:rPr>
        <w:t>顶部区域：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产品名称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当前任务状态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帮助入口：我该上传什么？</w:t>
      </w:r>
    </w:p>
    <w:p>
      <w:pPr>
        <w:spacing w:after="100"/>
      </w:pPr>
      <w:r>
        <w:rPr>
          <w:rFonts w:ascii="宋体" w:hAnsi="宋体" w:eastAsia="宋体"/>
          <w:sz w:val="22"/>
        </w:rPr>
        <w:t>右侧状态栏：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当前步骤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当前 Agent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系统提示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是否存在阻断异常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4. 页面一：生成报告首页</w:t>
      </w:r>
    </w:p>
    <w:p>
      <w:pPr>
        <w:spacing w:after="100"/>
      </w:pPr>
      <w:r>
        <w:rPr>
          <w:rFonts w:ascii="宋体" w:hAnsi="宋体" w:eastAsia="宋体"/>
          <w:sz w:val="22"/>
        </w:rPr>
        <w:t>用途：提供强引导入口。</w:t>
      </w:r>
    </w:p>
    <w:p>
      <w:pPr>
        <w:spacing w:after="100"/>
      </w:pPr>
      <w:r>
        <w:rPr>
          <w:rFonts w:ascii="宋体" w:hAnsi="宋体" w:eastAsia="宋体"/>
          <w:sz w:val="22"/>
        </w:rPr>
        <w:t>主要内容：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标题：生成绩效考核报告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说明：上传资料包，系统自动完成资料识别、金额核算、正文生成和格式校验。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引导卡片：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必填：资料包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选填：新的金额计算方法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输出：成品 DOCX 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主按钮：上传资料包生成报告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次入口：查看历史报告</w:t>
      </w:r>
    </w:p>
    <w:p>
      <w:pPr>
        <w:spacing w:after="100"/>
      </w:pPr>
      <w:r>
        <w:rPr>
          <w:rFonts w:ascii="宋体" w:hAnsi="宋体" w:eastAsia="宋体"/>
          <w:sz w:val="22"/>
        </w:rPr>
        <w:t>空状态文案：</w:t>
      </w:r>
    </w:p>
    <w:p>
      <w:pPr>
        <w:spacing w:after="100"/>
      </w:pPr>
      <w:r>
        <w:rPr>
          <w:rFonts w:ascii="宋体" w:hAnsi="宋体" w:eastAsia="宋体"/>
          <w:sz w:val="22"/>
        </w:rPr>
        <w:t>“还没有生成记录。上传资料包后，系统将自动生成正式报告。”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5. 页面二：上传资料包</w:t>
      </w:r>
    </w:p>
    <w:p>
      <w:pPr>
        <w:spacing w:after="100"/>
      </w:pPr>
      <w:r>
        <w:rPr>
          <w:rFonts w:ascii="宋体" w:hAnsi="宋体" w:eastAsia="宋体"/>
          <w:sz w:val="22"/>
        </w:rPr>
        <w:t>用途：完成最少输入。</w:t>
      </w:r>
    </w:p>
    <w:p>
      <w:pPr>
        <w:spacing w:after="100"/>
      </w:pPr>
      <w:r>
        <w:rPr>
          <w:rFonts w:ascii="宋体" w:hAnsi="宋体" w:eastAsia="宋体"/>
          <w:sz w:val="22"/>
        </w:rPr>
        <w:t>主要区域：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资料包上传区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大面积拖拽上传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文案：拖入资料包文件夹，或点击选择文件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说明：支持一个或多个镇街资料包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新的金额计算方法（选填）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默认收起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可展开上传合同、补充协议、金额计算表或填写说明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提示：未填写时，系统将使用默认金额计算方法继续生成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右侧帮助卡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标题：资料包可以是什么样？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示例：资料收集、公共资料、镇街附件、金额基础数据（如有）</w:t>
      </w:r>
    </w:p>
    <w:p>
      <w:pPr>
        <w:spacing w:after="100"/>
      </w:pPr>
      <w:r>
        <w:rPr>
          <w:rFonts w:ascii="宋体" w:hAnsi="宋体" w:eastAsia="宋体"/>
          <w:sz w:val="22"/>
        </w:rPr>
        <w:t>按钮：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开始生成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保存草稿</w:t>
      </w:r>
    </w:p>
    <w:p>
      <w:pPr>
        <w:spacing w:after="100"/>
      </w:pPr>
      <w:r>
        <w:rPr>
          <w:rFonts w:ascii="宋体" w:hAnsi="宋体" w:eastAsia="宋体"/>
          <w:sz w:val="22"/>
        </w:rPr>
        <w:t>校验：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未上传资料包时，“开始生成”不可用。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未上传新的金额计算方法时，不报错，只提示使用默认金额计算方法。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6. 页面三：生成确认</w:t>
      </w:r>
    </w:p>
    <w:p>
      <w:pPr>
        <w:spacing w:after="100"/>
      </w:pPr>
      <w:r>
        <w:rPr>
          <w:rFonts w:ascii="宋体" w:hAnsi="宋体" w:eastAsia="宋体"/>
          <w:sz w:val="22"/>
        </w:rPr>
        <w:t>用途：用自然语言确认生成方式，不暴露复杂配置。</w:t>
      </w:r>
    </w:p>
    <w:p>
      <w:pPr>
        <w:spacing w:after="100"/>
      </w:pPr>
      <w:r>
        <w:rPr>
          <w:rFonts w:ascii="宋体" w:hAnsi="宋体" w:eastAsia="宋体"/>
          <w:sz w:val="22"/>
        </w:rPr>
        <w:t>展示内容：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资料包名称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已识别镇街数量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新的金额计算方法：已提供 / 未提供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系统处理：使用新方法 / 使用默认金额计算方法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推荐输出：单镇报告、多镇报告或汇总报告</w:t>
      </w:r>
    </w:p>
    <w:p>
      <w:pPr>
        <w:spacing w:after="100"/>
      </w:pPr>
      <w:r>
        <w:rPr>
          <w:rFonts w:ascii="宋体" w:hAnsi="宋体" w:eastAsia="宋体"/>
          <w:sz w:val="22"/>
        </w:rPr>
        <w:t>可调整项：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是否同时生成汇总报告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附件处理方式：默认原样追加</w:t>
      </w:r>
    </w:p>
    <w:p>
      <w:pPr>
        <w:spacing w:after="100"/>
      </w:pPr>
      <w:r>
        <w:rPr>
          <w:rFonts w:ascii="宋体" w:hAnsi="宋体" w:eastAsia="宋体"/>
          <w:sz w:val="22"/>
        </w:rPr>
        <w:t>提示文案：</w:t>
      </w:r>
    </w:p>
    <w:p>
      <w:pPr>
        <w:spacing w:after="100"/>
      </w:pPr>
      <w:r>
        <w:rPr>
          <w:rFonts w:ascii="宋体" w:hAnsi="宋体" w:eastAsia="宋体"/>
          <w:sz w:val="22"/>
        </w:rPr>
        <w:t>“未提供新的金额计算方法，系统将使用默认金额计算方法生成报告。”</w:t>
      </w:r>
    </w:p>
    <w:p>
      <w:pPr>
        <w:spacing w:after="100"/>
      </w:pPr>
      <w:r>
        <w:rPr>
          <w:rFonts w:ascii="宋体" w:hAnsi="宋体" w:eastAsia="宋体"/>
          <w:sz w:val="22"/>
        </w:rPr>
        <w:t>主按钮：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确认并开始生成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7. 页面四：自动生成进度</w:t>
      </w:r>
    </w:p>
    <w:p>
      <w:pPr>
        <w:spacing w:after="100"/>
      </w:pPr>
      <w:r>
        <w:rPr>
          <w:rFonts w:ascii="宋体" w:hAnsi="宋体" w:eastAsia="宋体"/>
          <w:sz w:val="22"/>
        </w:rPr>
        <w:t>用途：展示系统自动处理过程，让用户知道当前进展。</w:t>
      </w:r>
    </w:p>
    <w:p>
      <w:pPr>
        <w:spacing w:after="100"/>
      </w:pPr>
      <w:r>
        <w:rPr>
          <w:rFonts w:ascii="宋体" w:hAnsi="宋体" w:eastAsia="宋体"/>
          <w:sz w:val="22"/>
        </w:rPr>
        <w:t>进度节点：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读取资料包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识别镇街和附件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抽取考核数据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核算金额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生成正文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检查报告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输出成品报告</w:t>
      </w:r>
    </w:p>
    <w:p>
      <w:pPr>
        <w:spacing w:after="100"/>
      </w:pPr>
      <w:r>
        <w:rPr>
          <w:rFonts w:ascii="宋体" w:hAnsi="宋体" w:eastAsia="宋体"/>
          <w:sz w:val="22"/>
        </w:rPr>
        <w:t>右侧处理助手：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当前 Agent：资料解析 / 金额 / 规范 / 报告 / 校验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当前动作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系统提示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异常状态</w:t>
      </w:r>
    </w:p>
    <w:p>
      <w:pPr>
        <w:spacing w:after="100"/>
      </w:pPr>
      <w:r>
        <w:rPr>
          <w:rFonts w:ascii="宋体" w:hAnsi="宋体" w:eastAsia="宋体"/>
          <w:sz w:val="22"/>
        </w:rPr>
        <w:t>异常提示：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黄色提示：未提供新的金额计算方法，已使用默认金额计算方法。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红色提示：资料包无法读取，请重新上传。</w:t>
      </w:r>
    </w:p>
    <w:p>
      <w:pPr>
        <w:spacing w:after="100"/>
      </w:pPr>
      <w:r>
        <w:rPr>
          <w:rFonts w:ascii="宋体" w:hAnsi="宋体" w:eastAsia="宋体"/>
          <w:sz w:val="22"/>
        </w:rPr>
        <w:t>按钮：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后台生成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查看详情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停止任务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8. 页面五：成品报告结果</w:t>
      </w:r>
    </w:p>
    <w:p>
      <w:pPr>
        <w:spacing w:after="100"/>
      </w:pPr>
      <w:r>
        <w:rPr>
          <w:rFonts w:ascii="宋体" w:hAnsi="宋体" w:eastAsia="宋体"/>
          <w:sz w:val="22"/>
        </w:rPr>
        <w:t>用途：突出下载成品报告。</w:t>
      </w:r>
    </w:p>
    <w:p>
      <w:pPr>
        <w:spacing w:after="100"/>
      </w:pPr>
      <w:r>
        <w:rPr>
          <w:rFonts w:ascii="宋体" w:hAnsi="宋体" w:eastAsia="宋体"/>
          <w:sz w:val="22"/>
        </w:rPr>
        <w:t>首屏标题：</w:t>
      </w:r>
    </w:p>
    <w:p>
      <w:pPr>
        <w:spacing w:after="100"/>
      </w:pPr>
      <w:r>
        <w:rPr>
          <w:rFonts w:ascii="宋体" w:hAnsi="宋体" w:eastAsia="宋体"/>
          <w:sz w:val="22"/>
        </w:rPr>
        <w:t>“报告已生成”</w:t>
      </w:r>
    </w:p>
    <w:p>
      <w:pPr>
        <w:spacing w:after="100"/>
      </w:pPr>
      <w:r>
        <w:rPr>
          <w:rFonts w:ascii="宋体" w:hAnsi="宋体" w:eastAsia="宋体"/>
          <w:sz w:val="22"/>
        </w:rPr>
        <w:t>主要内容：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成品报告下载卡片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报告列表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生成时间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校验状态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主按钮：下载成品报告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多文件时显示：下载全部</w:t>
      </w:r>
    </w:p>
    <w:p>
      <w:pPr>
        <w:spacing w:after="100"/>
      </w:pPr>
      <w:r>
        <w:rPr>
          <w:rFonts w:ascii="宋体" w:hAnsi="宋体" w:eastAsia="宋体"/>
          <w:sz w:val="22"/>
        </w:rPr>
        <w:t>报告列表字段：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序号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报告名称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镇街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状态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操作</w:t>
      </w:r>
    </w:p>
    <w:p>
      <w:pPr>
        <w:spacing w:after="100"/>
      </w:pPr>
      <w:r>
        <w:rPr>
          <w:rFonts w:ascii="宋体" w:hAnsi="宋体" w:eastAsia="宋体"/>
          <w:sz w:val="22"/>
        </w:rPr>
        <w:t>右侧摘要：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资料包已处理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金额核算完成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报告校验通过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使用默认金额计算方法 / 使用新金额计算方法</w:t>
      </w:r>
    </w:p>
    <w:p>
      <w:pPr>
        <w:spacing w:after="100"/>
      </w:pPr>
      <w:r>
        <w:rPr>
          <w:rFonts w:ascii="宋体" w:hAnsi="宋体" w:eastAsia="宋体"/>
          <w:sz w:val="22"/>
        </w:rPr>
        <w:t>次级操作：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查看详情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重新生成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9. 详情抽屉</w:t>
      </w:r>
    </w:p>
    <w:p>
      <w:pPr>
        <w:spacing w:after="100"/>
      </w:pPr>
      <w:r>
        <w:rPr>
          <w:rFonts w:ascii="宋体" w:hAnsi="宋体" w:eastAsia="宋体"/>
          <w:sz w:val="22"/>
        </w:rPr>
        <w:t>详情抽屉不作为主流程页面，只在用户点击“查看详情”后出现。</w:t>
      </w:r>
    </w:p>
    <w:p>
      <w:pPr>
        <w:spacing w:after="100"/>
      </w:pPr>
      <w:r>
        <w:rPr>
          <w:rFonts w:ascii="宋体" w:hAnsi="宋体" w:eastAsia="宋体"/>
          <w:sz w:val="22"/>
        </w:rPr>
        <w:t>包含四个标签页：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资料识别：镇街、附件、公共资料、识别状态。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金额过程：Ec1、Ec2、可用性付费、运维服务费、扣减金额、金额方法来源。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校验清单：命名、串镇、表格序号、字体、金额一致性。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Agent 日志：自动处理步骤和异常记录。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10. 历史报告</w:t>
      </w:r>
    </w:p>
    <w:p>
      <w:pPr>
        <w:spacing w:after="100"/>
      </w:pPr>
      <w:r>
        <w:rPr>
          <w:rFonts w:ascii="宋体" w:hAnsi="宋体" w:eastAsia="宋体"/>
          <w:sz w:val="22"/>
        </w:rPr>
        <w:t>用途：找回已生成报告。</w:t>
      </w:r>
    </w:p>
    <w:p>
      <w:pPr>
        <w:spacing w:after="100"/>
      </w:pPr>
      <w:r>
        <w:rPr>
          <w:rFonts w:ascii="宋体" w:hAnsi="宋体" w:eastAsia="宋体"/>
          <w:sz w:val="22"/>
        </w:rPr>
        <w:t>字段：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报告名称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资料包名称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镇街数量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生成时间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状态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操作</w:t>
      </w:r>
    </w:p>
    <w:p>
      <w:pPr>
        <w:spacing w:after="100"/>
      </w:pPr>
      <w:r>
        <w:rPr>
          <w:rFonts w:ascii="宋体" w:hAnsi="宋体" w:eastAsia="宋体"/>
          <w:sz w:val="22"/>
        </w:rPr>
        <w:t>操作：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下载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查看详情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重新生成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11. 组件清单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主流程步骤条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资料包上传区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选填金额方法区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生成确认卡片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自动生成进度条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Agent 状态卡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异常提示卡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成品报告下载卡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历史报告表格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详情抽屉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12. 视觉规范</w:t>
      </w:r>
    </w:p>
    <w:p>
      <w:pPr>
        <w:spacing w:after="100"/>
      </w:pPr>
      <w:r>
        <w:rPr>
          <w:rFonts w:ascii="宋体" w:hAnsi="宋体" w:eastAsia="宋体"/>
          <w:sz w:val="22"/>
        </w:rPr>
        <w:t>风格：正式、稳重、清晰、政务工具感。</w:t>
      </w:r>
    </w:p>
    <w:p>
      <w:pPr>
        <w:spacing w:after="100"/>
      </w:pPr>
      <w:r>
        <w:rPr>
          <w:rFonts w:ascii="宋体" w:hAnsi="宋体" w:eastAsia="宋体"/>
          <w:sz w:val="22"/>
        </w:rPr>
        <w:t>建议：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主色使用深蓝灰或深绿色。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背景使用浅灰白。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成功为绿色，警告为黄色，阻断为红色。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不做营销首页。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不使用大面积插画和夸张渐变。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卡片用于任务、上传、结果和异常，不要层层嵌套。</w:t>
      </w:r>
    </w:p>
    <w:p>
      <w:pPr>
        <w:pStyle w:val="ListBullet"/>
        <w:spacing w:after="100"/>
      </w:pPr>
      <w:r>
        <w:rPr>
          <w:rFonts w:ascii="宋体" w:hAnsi="宋体" w:eastAsia="宋体"/>
          <w:sz w:val="22"/>
        </w:rPr>
        <w:t>主按钮始终清晰醒目。</w:t>
      </w:r>
    </w:p>
    <w:p>
      <w:pPr>
        <w:pStyle w:val="Heading1"/>
      </w:pPr>
      <w:r>
        <w:rPr>
          <w:rFonts w:ascii="宋体" w:hAnsi="宋体" w:eastAsia="宋体"/>
          <w:b/>
          <w:color w:val="1F4E79"/>
          <w:sz w:val="32"/>
        </w:rPr>
        <w:t>13. 验收点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首页能清楚引导用户上传资料包。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上传页明确区分必填资料包和选填金额方法。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未提供新的金额计算方法时，系统显示使用默认金额计算方法。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生成过程不要求用户逐项确认。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结果页最突出的是成品 DOCX 报告下载。</w:t>
      </w:r>
    </w:p>
    <w:p>
      <w:pPr>
        <w:pStyle w:val="ListNumber"/>
        <w:spacing w:after="100"/>
      </w:pPr>
      <w:r>
        <w:rPr>
          <w:rFonts w:ascii="宋体" w:hAnsi="宋体" w:eastAsia="宋体"/>
          <w:sz w:val="22"/>
        </w:rPr>
        <w:t>金额过程和校验清单可以查看，但不是主输出。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